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FE" w:rsidRDefault="00723927">
      <w:pPr>
        <w:rPr>
          <w:rFonts w:ascii="仿宋_GB2312" w:eastAsia="仿宋_GB2312"/>
          <w:sz w:val="32"/>
          <w:szCs w:val="32"/>
        </w:rPr>
      </w:pPr>
      <w:bookmarkStart w:id="0" w:name="_Hlk15289117"/>
      <w:r>
        <w:rPr>
          <w:rFonts w:ascii="仿宋_GB2312" w:eastAsia="仿宋_GB2312" w:hint="eastAsia"/>
          <w:sz w:val="32"/>
          <w:szCs w:val="32"/>
        </w:rPr>
        <w:t>附件1</w:t>
      </w:r>
    </w:p>
    <w:bookmarkEnd w:id="0"/>
    <w:p w:rsidR="00813AFE" w:rsidRDefault="005C3D8E" w:rsidP="00CA3225">
      <w:pPr>
        <w:spacing w:after="100" w:afterAutospacing="1"/>
        <w:jc w:val="center"/>
        <w:rPr>
          <w:rFonts w:ascii="小标宋" w:eastAsia="小标宋"/>
          <w:sz w:val="36"/>
          <w:szCs w:val="36"/>
        </w:rPr>
      </w:pPr>
      <w:r w:rsidRPr="005C3D8E">
        <w:rPr>
          <w:rFonts w:ascii="微软雅黑" w:eastAsia="微软雅黑" w:hAnsi="微软雅黑" w:cs="微软雅黑" w:hint="eastAsia"/>
          <w:sz w:val="36"/>
          <w:szCs w:val="36"/>
        </w:rPr>
        <w:t>氢能燃料电池汽车</w:t>
      </w:r>
      <w:r>
        <w:rPr>
          <w:rFonts w:ascii="微软雅黑" w:eastAsia="微软雅黑" w:hAnsi="微软雅黑" w:cs="微软雅黑" w:hint="eastAsia"/>
          <w:sz w:val="36"/>
          <w:szCs w:val="36"/>
        </w:rPr>
        <w:t>和</w:t>
      </w:r>
      <w:r w:rsidRPr="005C3D8E">
        <w:rPr>
          <w:rFonts w:ascii="微软雅黑" w:eastAsia="微软雅黑" w:hAnsi="微软雅黑" w:cs="微软雅黑" w:hint="eastAsia"/>
          <w:sz w:val="36"/>
          <w:szCs w:val="36"/>
        </w:rPr>
        <w:t>燃料电池动力系统标准法规宣贯及行业新应用</w:t>
      </w:r>
      <w:r w:rsidR="00211E48" w:rsidRPr="00211E48">
        <w:rPr>
          <w:rFonts w:ascii="微软雅黑" w:eastAsia="微软雅黑" w:hAnsi="微软雅黑" w:cs="微软雅黑" w:hint="eastAsia"/>
          <w:sz w:val="36"/>
          <w:szCs w:val="36"/>
        </w:rPr>
        <w:t>交流培训会</w:t>
      </w:r>
      <w:r w:rsidR="00723927">
        <w:rPr>
          <w:rFonts w:ascii="小标宋" w:eastAsia="小标宋" w:hint="eastAsia"/>
          <w:sz w:val="36"/>
          <w:szCs w:val="36"/>
        </w:rPr>
        <w:t>日程安排</w:t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96"/>
        <w:gridCol w:w="6522"/>
        <w:gridCol w:w="1416"/>
      </w:tblGrid>
      <w:tr w:rsidR="00813AFE" w:rsidTr="009E7685">
        <w:trPr>
          <w:trHeight w:val="499"/>
          <w:jc w:val="center"/>
        </w:trPr>
        <w:tc>
          <w:tcPr>
            <w:tcW w:w="2404" w:type="dxa"/>
            <w:gridSpan w:val="2"/>
            <w:vAlign w:val="center"/>
          </w:tcPr>
          <w:p w:rsidR="00813AFE" w:rsidRDefault="00723927">
            <w:pPr>
              <w:widowControl/>
              <w:jc w:val="center"/>
              <w:rPr>
                <w:rFonts w:ascii="仿宋_GB2312" w:eastAsia="仿宋_GB2312" w:hAnsi="微软雅黑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813AFE" w:rsidRDefault="00723927">
            <w:pPr>
              <w:widowControl/>
              <w:jc w:val="center"/>
              <w:rPr>
                <w:rFonts w:ascii="仿宋_GB2312" w:eastAsia="仿宋_GB2312" w:hAnsi="微软雅黑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13AFE" w:rsidRDefault="00723927">
            <w:pPr>
              <w:widowControl/>
              <w:jc w:val="center"/>
              <w:rPr>
                <w:rFonts w:ascii="仿宋_GB2312" w:eastAsia="仿宋_GB2312" w:hAnsi="微软雅黑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bCs/>
                <w:color w:val="000000"/>
                <w:kern w:val="0"/>
                <w:sz w:val="28"/>
                <w:szCs w:val="28"/>
              </w:rPr>
              <w:t>授课专家</w:t>
            </w:r>
          </w:p>
        </w:tc>
      </w:tr>
      <w:tr w:rsidR="00813AFE" w:rsidTr="009E7685">
        <w:trPr>
          <w:trHeight w:val="499"/>
          <w:jc w:val="center"/>
        </w:trPr>
        <w:tc>
          <w:tcPr>
            <w:tcW w:w="708" w:type="dxa"/>
            <w:vMerge w:val="restart"/>
            <w:vAlign w:val="center"/>
          </w:tcPr>
          <w:p w:rsidR="00813AFE" w:rsidRDefault="00A661D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</w:t>
            </w:r>
          </w:p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月</w:t>
            </w:r>
            <w:r w:rsidR="00CA3225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="00CA322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 xml:space="preserve"> </w:t>
            </w:r>
            <w:r w:rsidR="00A661DE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21</w:t>
            </w:r>
            <w:r w:rsidR="00CA322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日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9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9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813AFE" w:rsidRDefault="0072392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主承办方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领导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致辞</w:t>
            </w:r>
            <w:r w:rsidR="00A92C4F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（中国汽车工程学会）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13AFE" w:rsidRDefault="00076DC5" w:rsidP="00076DC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张旭明</w:t>
            </w:r>
          </w:p>
        </w:tc>
      </w:tr>
      <w:tr w:rsidR="00813AFE" w:rsidTr="00EC3B80">
        <w:trPr>
          <w:trHeight w:val="672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9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076DC5" w:rsidRDefault="00076DC5" w:rsidP="00076D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076DC5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燃料电池的种类，基本原理，及应用场景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；</w:t>
            </w:r>
          </w:p>
          <w:p w:rsidR="00076DC5" w:rsidRPr="00076DC5" w:rsidRDefault="00076DC5" w:rsidP="00076D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076DC5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燃料电池发展状况（国内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外</w:t>
            </w:r>
            <w:r w:rsidRPr="00076DC5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技术发展及应用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）；</w:t>
            </w:r>
          </w:p>
          <w:p w:rsidR="00076DC5" w:rsidRPr="00076DC5" w:rsidRDefault="00076DC5" w:rsidP="00076D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076DC5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燃料电池和氢能在中国商业化的路程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；</w:t>
            </w:r>
            <w:r w:rsidRPr="00076DC5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13AFE" w:rsidRDefault="00076DC5" w:rsidP="00076DC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侯国艳</w:t>
            </w:r>
          </w:p>
        </w:tc>
      </w:tr>
      <w:tr w:rsidR="00813AFE">
        <w:trPr>
          <w:trHeight w:val="499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10: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45</w:t>
            </w:r>
          </w:p>
        </w:tc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13AFE" w:rsidRDefault="00723927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                     茶 歇</w:t>
            </w:r>
          </w:p>
        </w:tc>
      </w:tr>
      <w:tr w:rsidR="00813AFE" w:rsidTr="00EC3B80">
        <w:trPr>
          <w:trHeight w:val="621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45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076DC5" w:rsidRDefault="00076D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076DC5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燃料电池和氢能在中国能源体系的定位；</w:t>
            </w:r>
          </w:p>
          <w:p w:rsidR="00813AFE" w:rsidRDefault="00076D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076DC5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燃料电池上游产业链简介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13AFE" w:rsidRDefault="00076DC5" w:rsidP="00076DC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侯国艳</w:t>
            </w:r>
          </w:p>
        </w:tc>
      </w:tr>
      <w:tr w:rsidR="00813AFE">
        <w:trPr>
          <w:trHeight w:val="499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12:0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-13:30</w:t>
            </w:r>
          </w:p>
        </w:tc>
        <w:tc>
          <w:tcPr>
            <w:tcW w:w="7938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AFE" w:rsidRDefault="00723927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                     午 餐</w:t>
            </w:r>
          </w:p>
        </w:tc>
      </w:tr>
      <w:tr w:rsidR="00813AFE" w:rsidTr="00BD3F87">
        <w:trPr>
          <w:trHeight w:val="596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13AFE" w:rsidRDefault="00A661DE" w:rsidP="00A661D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A661DE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质子交换膜燃料电池电堆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；</w:t>
            </w:r>
            <w:r w:rsidRPr="00A661DE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氢燃料电池发动机系统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13AFE" w:rsidRDefault="00076DC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徐梁飞</w:t>
            </w:r>
            <w:proofErr w:type="gramEnd"/>
          </w:p>
        </w:tc>
      </w:tr>
      <w:tr w:rsidR="00813AFE">
        <w:trPr>
          <w:trHeight w:val="548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13AFE" w:rsidRDefault="00723927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                     茶 歇</w:t>
            </w:r>
          </w:p>
        </w:tc>
      </w:tr>
      <w:tr w:rsidR="00813AFE" w:rsidTr="00BD3F87">
        <w:trPr>
          <w:trHeight w:val="644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-1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7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5A5D6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13AFE" w:rsidRDefault="00A661DE" w:rsidP="00A661D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A661DE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氢燃料电池汽车动力系统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；</w:t>
            </w:r>
            <w:r w:rsidRPr="00A661DE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储氢和加氢基础设施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13AFE" w:rsidRDefault="00076DC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徐梁飞</w:t>
            </w:r>
            <w:proofErr w:type="gramEnd"/>
          </w:p>
        </w:tc>
      </w:tr>
      <w:tr w:rsidR="00813AFE" w:rsidTr="009E7685">
        <w:trPr>
          <w:trHeight w:hRule="exact" w:val="794"/>
          <w:jc w:val="center"/>
        </w:trPr>
        <w:tc>
          <w:tcPr>
            <w:tcW w:w="708" w:type="dxa"/>
            <w:vMerge w:val="restart"/>
            <w:vAlign w:val="center"/>
          </w:tcPr>
          <w:p w:rsidR="00813AFE" w:rsidRDefault="00A661D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</w:t>
            </w:r>
          </w:p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813AFE" w:rsidRDefault="00A661D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2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2</w:t>
            </w:r>
          </w:p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日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9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DB5B1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13AFE" w:rsidRDefault="00A661DE" w:rsidP="009E7685">
            <w:pPr>
              <w:widowControl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A661DE">
              <w:rPr>
                <w:rFonts w:ascii="仿宋" w:eastAsia="仿宋" w:hAnsi="仿宋" w:hint="eastAsia"/>
                <w:sz w:val="24"/>
                <w:szCs w:val="21"/>
              </w:rPr>
              <w:t>目前已经或即将施行的燃料电池汽车整车技关键系统重点标准法规（国标、行业标准、团标）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13AFE" w:rsidRDefault="00076DC5">
            <w:pPr>
              <w:widowControl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何云堂</w:t>
            </w:r>
          </w:p>
        </w:tc>
      </w:tr>
      <w:tr w:rsidR="00813AFE">
        <w:trPr>
          <w:trHeight w:val="499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DB5B1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DB5B1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4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7938" w:type="dxa"/>
            <w:gridSpan w:val="2"/>
            <w:shd w:val="clear" w:color="auto" w:fill="auto"/>
            <w:noWrap/>
            <w:vAlign w:val="center"/>
            <w:hideMark/>
          </w:tcPr>
          <w:p w:rsidR="00813AFE" w:rsidRDefault="00723927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                 </w:t>
            </w:r>
            <w:r w:rsidR="009E768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茶 歇</w:t>
            </w:r>
          </w:p>
        </w:tc>
      </w:tr>
      <w:tr w:rsidR="00813AFE" w:rsidTr="00DB5B15">
        <w:trPr>
          <w:trHeight w:hRule="exact" w:val="738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DB5B1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4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00</w:t>
            </w:r>
          </w:p>
        </w:tc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A661DE" w:rsidRPr="00A661DE" w:rsidRDefault="00A661DE" w:rsidP="00A661DE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A661DE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标准的实际应用和最新发展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；</w:t>
            </w:r>
          </w:p>
          <w:p w:rsidR="00813AFE" w:rsidRDefault="00A661DE" w:rsidP="00A661DE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A661DE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中国参加的燃料电池汽车国际标准法规协调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13AFE" w:rsidRDefault="00076DC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何云堂</w:t>
            </w:r>
          </w:p>
        </w:tc>
      </w:tr>
      <w:tr w:rsidR="00813AFE">
        <w:trPr>
          <w:trHeight w:val="499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13AFE" w:rsidRDefault="00723927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                  </w:t>
            </w:r>
            <w:r w:rsidR="009E768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午 餐</w:t>
            </w:r>
          </w:p>
        </w:tc>
      </w:tr>
      <w:tr w:rsidR="00DB5B15" w:rsidTr="00EC3B80">
        <w:trPr>
          <w:trHeight w:val="768"/>
          <w:jc w:val="center"/>
        </w:trPr>
        <w:tc>
          <w:tcPr>
            <w:tcW w:w="708" w:type="dxa"/>
            <w:vMerge/>
            <w:vAlign w:val="center"/>
          </w:tcPr>
          <w:p w:rsidR="00DB5B15" w:rsidRDefault="00DB5B1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DB5B15" w:rsidRDefault="00DB5B1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A661DE" w:rsidRPr="00A661DE" w:rsidRDefault="00A661DE" w:rsidP="00A661DE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A661DE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燃料电池汽车及其关键部件的国内外标准现状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；</w:t>
            </w:r>
          </w:p>
          <w:p w:rsidR="00DB5B15" w:rsidRDefault="00A661DE" w:rsidP="00A661DE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A661DE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燃料电池汽车整车测评技术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B5B15" w:rsidRDefault="00076DC5" w:rsidP="00076DC5">
            <w:pPr>
              <w:widowControl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郝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冬</w:t>
            </w:r>
          </w:p>
        </w:tc>
      </w:tr>
      <w:tr w:rsidR="00DB5B15" w:rsidTr="00DB5B15">
        <w:trPr>
          <w:trHeight w:val="499"/>
          <w:jc w:val="center"/>
        </w:trPr>
        <w:tc>
          <w:tcPr>
            <w:tcW w:w="708" w:type="dxa"/>
            <w:vMerge/>
            <w:vAlign w:val="center"/>
          </w:tcPr>
          <w:p w:rsidR="00DB5B15" w:rsidRDefault="00DB5B1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DB5B15" w:rsidRDefault="00DB5B1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DB5B15" w:rsidRDefault="00DB5B15" w:rsidP="00DB5B1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茶 歇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B5B15" w:rsidRPr="00DB5B15" w:rsidRDefault="00DB5B15">
            <w:pPr>
              <w:widowControl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</w:tr>
      <w:tr w:rsidR="00DB5B15" w:rsidTr="00EC3B80">
        <w:trPr>
          <w:trHeight w:val="770"/>
          <w:jc w:val="center"/>
        </w:trPr>
        <w:tc>
          <w:tcPr>
            <w:tcW w:w="708" w:type="dxa"/>
            <w:vMerge/>
            <w:vAlign w:val="center"/>
          </w:tcPr>
          <w:p w:rsidR="00DB5B15" w:rsidRDefault="00DB5B1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DB5B15" w:rsidRDefault="00DB5B1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17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A661DE" w:rsidRPr="00A661DE" w:rsidRDefault="00A661DE" w:rsidP="00A661DE">
            <w:pPr>
              <w:widowControl/>
              <w:rPr>
                <w:rFonts w:ascii="仿宋" w:eastAsia="仿宋" w:hAnsi="仿宋"/>
                <w:color w:val="000000" w:themeColor="text1"/>
                <w:kern w:val="0"/>
                <w:sz w:val="24"/>
                <w:szCs w:val="28"/>
              </w:rPr>
            </w:pPr>
            <w:r w:rsidRPr="00A661DE">
              <w:rPr>
                <w:rFonts w:ascii="仿宋" w:eastAsia="仿宋" w:hAnsi="仿宋"/>
                <w:color w:val="000000" w:themeColor="text1"/>
                <w:kern w:val="0"/>
                <w:sz w:val="24"/>
                <w:szCs w:val="28"/>
              </w:rPr>
              <w:t>燃料电池发动机测评技术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8"/>
              </w:rPr>
              <w:t>；</w:t>
            </w:r>
          </w:p>
          <w:p w:rsidR="00DB5B15" w:rsidRDefault="00A661DE" w:rsidP="00A661DE">
            <w:pPr>
              <w:widowControl/>
              <w:rPr>
                <w:rFonts w:ascii="仿宋" w:eastAsia="仿宋" w:hAnsi="仿宋"/>
                <w:color w:val="FF0000"/>
                <w:kern w:val="0"/>
                <w:sz w:val="24"/>
                <w:szCs w:val="28"/>
              </w:rPr>
            </w:pPr>
            <w:r w:rsidRPr="00A661DE">
              <w:rPr>
                <w:rFonts w:ascii="仿宋" w:eastAsia="仿宋" w:hAnsi="仿宋"/>
                <w:color w:val="000000" w:themeColor="text1"/>
                <w:kern w:val="0"/>
                <w:sz w:val="24"/>
                <w:szCs w:val="28"/>
              </w:rPr>
              <w:t>燃料电池堆测评技术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76DC5" w:rsidRPr="00DB5B15" w:rsidRDefault="00076DC5" w:rsidP="00076DC5">
            <w:pPr>
              <w:widowControl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郝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冬</w:t>
            </w:r>
          </w:p>
        </w:tc>
      </w:tr>
    </w:tbl>
    <w:p w:rsidR="00813AFE" w:rsidRPr="00367D07" w:rsidRDefault="00723927" w:rsidP="002D4F14">
      <w:pPr>
        <w:jc w:val="left"/>
        <w:rPr>
          <w:rFonts w:ascii="仿宋_GB2312" w:eastAsia="仿宋_GB2312" w:hAnsi="宋体"/>
          <w:b/>
          <w:sz w:val="28"/>
          <w:szCs w:val="28"/>
        </w:rPr>
      </w:pPr>
      <w:r w:rsidRPr="00367D07">
        <w:rPr>
          <w:rFonts w:ascii="仿宋_GB2312" w:eastAsia="仿宋_GB2312" w:hAnsi="宋体" w:hint="eastAsia"/>
          <w:b/>
          <w:sz w:val="28"/>
          <w:szCs w:val="28"/>
        </w:rPr>
        <w:t>备注：日程实时更新，最新日程详见报名网站</w:t>
      </w:r>
    </w:p>
    <w:p w:rsidR="00D114B0" w:rsidRDefault="00D114B0" w:rsidP="002D4F14">
      <w:pPr>
        <w:jc w:val="left"/>
      </w:pPr>
    </w:p>
    <w:p w:rsidR="00D114B0" w:rsidRPr="000D6C65" w:rsidRDefault="00D114B0" w:rsidP="002D4F14">
      <w:pPr>
        <w:jc w:val="left"/>
        <w:rPr>
          <w:rFonts w:ascii="仿宋_GB2312" w:eastAsia="仿宋_GB2312" w:hAnsi="宋体"/>
          <w:b/>
          <w:sz w:val="28"/>
          <w:szCs w:val="28"/>
        </w:rPr>
      </w:pPr>
      <w:bookmarkStart w:id="1" w:name="_GoBack"/>
      <w:bookmarkEnd w:id="1"/>
    </w:p>
    <w:sectPr w:rsidR="00D114B0" w:rsidRPr="000D6C6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A54" w:rsidRDefault="00B53A54" w:rsidP="00FA1597">
      <w:r>
        <w:separator/>
      </w:r>
    </w:p>
  </w:endnote>
  <w:endnote w:type="continuationSeparator" w:id="0">
    <w:p w:rsidR="00B53A54" w:rsidRDefault="00B53A54" w:rsidP="00FA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小标宋">
    <w:altName w:val="SimSun-ExtB"/>
    <w:charset w:val="86"/>
    <w:family w:val="script"/>
    <w:pitch w:val="fixed"/>
    <w:sig w:usb0="00000001" w:usb1="080E0000" w:usb2="00000010" w:usb3="00000000" w:csb0="00040000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A54" w:rsidRDefault="00B53A54" w:rsidP="00FA1597">
      <w:r>
        <w:separator/>
      </w:r>
    </w:p>
  </w:footnote>
  <w:footnote w:type="continuationSeparator" w:id="0">
    <w:p w:rsidR="00B53A54" w:rsidRDefault="00B53A54" w:rsidP="00FA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DDE9E9E"/>
    <w:lvl w:ilvl="0" w:tplc="CE1A51E8">
      <w:start w:val="4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 w15:restartNumberingAfterBreak="0">
    <w:nsid w:val="11A93307"/>
    <w:multiLevelType w:val="hybridMultilevel"/>
    <w:tmpl w:val="9236C1B4"/>
    <w:lvl w:ilvl="0" w:tplc="0409000F">
      <w:start w:val="1"/>
      <w:numFmt w:val="decimal"/>
      <w:lvlText w:val="%1."/>
      <w:lvlJc w:val="left"/>
      <w:pPr>
        <w:ind w:left="828" w:hanging="420"/>
      </w:p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abstractNum w:abstractNumId="2" w15:restartNumberingAfterBreak="0">
    <w:nsid w:val="4B665362"/>
    <w:multiLevelType w:val="hybridMultilevel"/>
    <w:tmpl w:val="523A06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DF3AE9"/>
    <w:multiLevelType w:val="hybridMultilevel"/>
    <w:tmpl w:val="18EC88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FE"/>
    <w:rsid w:val="0004663F"/>
    <w:rsid w:val="00073C47"/>
    <w:rsid w:val="00076DC5"/>
    <w:rsid w:val="000C1883"/>
    <w:rsid w:val="000D6C65"/>
    <w:rsid w:val="00130E51"/>
    <w:rsid w:val="00171399"/>
    <w:rsid w:val="00186060"/>
    <w:rsid w:val="00197D78"/>
    <w:rsid w:val="001B11D3"/>
    <w:rsid w:val="00211E48"/>
    <w:rsid w:val="00295CAE"/>
    <w:rsid w:val="002B60DE"/>
    <w:rsid w:val="002D4F14"/>
    <w:rsid w:val="00322B37"/>
    <w:rsid w:val="00327033"/>
    <w:rsid w:val="0034373A"/>
    <w:rsid w:val="00357D03"/>
    <w:rsid w:val="00367D07"/>
    <w:rsid w:val="003B1C6B"/>
    <w:rsid w:val="003B6AC1"/>
    <w:rsid w:val="003F6AD1"/>
    <w:rsid w:val="00400926"/>
    <w:rsid w:val="00461A28"/>
    <w:rsid w:val="00482D7D"/>
    <w:rsid w:val="004A0488"/>
    <w:rsid w:val="004B714E"/>
    <w:rsid w:val="004B7A5A"/>
    <w:rsid w:val="005242FD"/>
    <w:rsid w:val="00555CFB"/>
    <w:rsid w:val="00582766"/>
    <w:rsid w:val="005A5D65"/>
    <w:rsid w:val="005A798F"/>
    <w:rsid w:val="005C3D8E"/>
    <w:rsid w:val="005D0F9F"/>
    <w:rsid w:val="005D530B"/>
    <w:rsid w:val="005E7D32"/>
    <w:rsid w:val="005F29E0"/>
    <w:rsid w:val="005F321E"/>
    <w:rsid w:val="005F5526"/>
    <w:rsid w:val="00607455"/>
    <w:rsid w:val="00620DD1"/>
    <w:rsid w:val="006319F6"/>
    <w:rsid w:val="00633478"/>
    <w:rsid w:val="00644FD1"/>
    <w:rsid w:val="0066297A"/>
    <w:rsid w:val="006A7A1B"/>
    <w:rsid w:val="006B2AFC"/>
    <w:rsid w:val="00723927"/>
    <w:rsid w:val="007325ED"/>
    <w:rsid w:val="007522F0"/>
    <w:rsid w:val="00802229"/>
    <w:rsid w:val="00813AFE"/>
    <w:rsid w:val="0082049F"/>
    <w:rsid w:val="0085654B"/>
    <w:rsid w:val="0086111F"/>
    <w:rsid w:val="008777E2"/>
    <w:rsid w:val="008C7792"/>
    <w:rsid w:val="008E3131"/>
    <w:rsid w:val="009231C7"/>
    <w:rsid w:val="00932ED9"/>
    <w:rsid w:val="009635DB"/>
    <w:rsid w:val="00964ED2"/>
    <w:rsid w:val="009E7685"/>
    <w:rsid w:val="00A201DA"/>
    <w:rsid w:val="00A4024A"/>
    <w:rsid w:val="00A42FF0"/>
    <w:rsid w:val="00A661DE"/>
    <w:rsid w:val="00A90784"/>
    <w:rsid w:val="00A92C4F"/>
    <w:rsid w:val="00A97FF1"/>
    <w:rsid w:val="00AF15FD"/>
    <w:rsid w:val="00B232DE"/>
    <w:rsid w:val="00B47764"/>
    <w:rsid w:val="00B53A54"/>
    <w:rsid w:val="00B57380"/>
    <w:rsid w:val="00B73236"/>
    <w:rsid w:val="00BD14AE"/>
    <w:rsid w:val="00BD3F87"/>
    <w:rsid w:val="00BE03A9"/>
    <w:rsid w:val="00C00358"/>
    <w:rsid w:val="00C0779D"/>
    <w:rsid w:val="00C10A7D"/>
    <w:rsid w:val="00C207A9"/>
    <w:rsid w:val="00C22E79"/>
    <w:rsid w:val="00C97FC8"/>
    <w:rsid w:val="00CA3225"/>
    <w:rsid w:val="00CB76DD"/>
    <w:rsid w:val="00CE1C86"/>
    <w:rsid w:val="00CF7AE9"/>
    <w:rsid w:val="00D02F97"/>
    <w:rsid w:val="00D114B0"/>
    <w:rsid w:val="00D2007B"/>
    <w:rsid w:val="00D70D91"/>
    <w:rsid w:val="00DB5B15"/>
    <w:rsid w:val="00DE5661"/>
    <w:rsid w:val="00DF7598"/>
    <w:rsid w:val="00E0447E"/>
    <w:rsid w:val="00E072AA"/>
    <w:rsid w:val="00E276CC"/>
    <w:rsid w:val="00E279BC"/>
    <w:rsid w:val="00E442C0"/>
    <w:rsid w:val="00EA01B4"/>
    <w:rsid w:val="00EC1DEE"/>
    <w:rsid w:val="00EC3B80"/>
    <w:rsid w:val="00ED42DF"/>
    <w:rsid w:val="00EF78DB"/>
    <w:rsid w:val="00F05472"/>
    <w:rsid w:val="00F55D34"/>
    <w:rsid w:val="00F67EE8"/>
    <w:rsid w:val="00FA108D"/>
    <w:rsid w:val="00FA1597"/>
    <w:rsid w:val="00FB6BE1"/>
    <w:rsid w:val="00FE608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259A4"/>
  <w15:docId w15:val="{83A34D4B-1451-4131-850A-8039303D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5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9">
    <w:name w:val="Balloon Text"/>
    <w:basedOn w:val="a"/>
    <w:link w:val="aa"/>
    <w:uiPriority w:val="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Pr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styleId="ab">
    <w:name w:val="Unresolved Mention"/>
    <w:basedOn w:val="a0"/>
    <w:uiPriority w:val="99"/>
    <w:semiHidden/>
    <w:unhideWhenUsed/>
    <w:rsid w:val="000D6C6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D6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97D675-BF21-4B33-81B9-9AEC3EC3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周强</dc:creator>
  <cp:lastModifiedBy>Administrator</cp:lastModifiedBy>
  <cp:revision>110</cp:revision>
  <cp:lastPrinted>2019-09-30T00:05:00Z</cp:lastPrinted>
  <dcterms:created xsi:type="dcterms:W3CDTF">2018-07-20T02:12:00Z</dcterms:created>
  <dcterms:modified xsi:type="dcterms:W3CDTF">2019-09-30T00:33:00Z</dcterms:modified>
</cp:coreProperties>
</file>