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80D" w:rsidRDefault="00C04E08">
      <w:pPr>
        <w:rPr>
          <w:rFonts w:ascii="黑体" w:eastAsia="黑体" w:hAnsi="黑体"/>
          <w:sz w:val="36"/>
          <w:szCs w:val="36"/>
        </w:rPr>
      </w:pPr>
      <w:bookmarkStart w:id="0" w:name="_GoBack"/>
      <w:bookmarkEnd w:id="0"/>
      <w:r>
        <w:rPr>
          <w:rFonts w:ascii="黑体" w:eastAsia="黑体" w:hAnsi="黑体" w:hint="eastAsia"/>
          <w:sz w:val="36"/>
          <w:szCs w:val="36"/>
        </w:rPr>
        <w:t xml:space="preserve">  </w:t>
      </w:r>
      <w:r>
        <w:rPr>
          <w:rFonts w:ascii="黑体" w:eastAsia="黑体" w:hAnsi="黑体" w:hint="eastAsia"/>
          <w:sz w:val="36"/>
          <w:szCs w:val="36"/>
        </w:rPr>
        <w:t>《汽车车身铝合金板材复合涂层加速腐蚀试验方法》</w:t>
      </w:r>
    </w:p>
    <w:p w:rsidR="00EE080D" w:rsidRDefault="00C04E08">
      <w:pPr>
        <w:jc w:val="center"/>
        <w:rPr>
          <w:rFonts w:ascii="黑体" w:eastAsia="黑体" w:hAnsi="黑体"/>
          <w:sz w:val="36"/>
          <w:szCs w:val="36"/>
        </w:rPr>
      </w:pPr>
      <w:r>
        <w:rPr>
          <w:rFonts w:ascii="黑体" w:eastAsia="黑体" w:hAnsi="黑体"/>
          <w:sz w:val="36"/>
          <w:szCs w:val="36"/>
        </w:rPr>
        <w:t>编制说明</w:t>
      </w:r>
    </w:p>
    <w:p w:rsidR="00EE080D" w:rsidRDefault="00EE080D">
      <w:pPr>
        <w:spacing w:line="276" w:lineRule="auto"/>
        <w:rPr>
          <w:bCs/>
          <w:sz w:val="24"/>
        </w:rPr>
      </w:pPr>
    </w:p>
    <w:p w:rsidR="00EE080D" w:rsidRDefault="00C04E08">
      <w:pPr>
        <w:spacing w:line="360" w:lineRule="auto"/>
        <w:rPr>
          <w:rFonts w:ascii="宋体" w:hAnsi="宋体"/>
          <w:b/>
          <w:szCs w:val="21"/>
        </w:rPr>
      </w:pPr>
      <w:r>
        <w:rPr>
          <w:rFonts w:ascii="宋体" w:hAnsi="宋体" w:hint="eastAsia"/>
          <w:b/>
          <w:szCs w:val="21"/>
        </w:rPr>
        <w:t>一、</w:t>
      </w:r>
      <w:r>
        <w:rPr>
          <w:rFonts w:ascii="宋体" w:hAnsi="宋体"/>
          <w:b/>
          <w:szCs w:val="21"/>
        </w:rPr>
        <w:t>工作</w:t>
      </w:r>
      <w:r>
        <w:rPr>
          <w:rFonts w:ascii="宋体" w:hAnsi="宋体" w:hint="eastAsia"/>
          <w:b/>
          <w:szCs w:val="21"/>
        </w:rPr>
        <w:t>简</w:t>
      </w:r>
      <w:r>
        <w:rPr>
          <w:rFonts w:ascii="宋体" w:hAnsi="宋体"/>
          <w:b/>
          <w:szCs w:val="21"/>
        </w:rPr>
        <w:t>况</w:t>
      </w:r>
    </w:p>
    <w:p w:rsidR="00EE080D" w:rsidRDefault="00C04E08">
      <w:pPr>
        <w:spacing w:line="360" w:lineRule="auto"/>
        <w:ind w:firstLineChars="202" w:firstLine="485"/>
        <w:rPr>
          <w:rFonts w:ascii="宋体" w:hAnsi="宋体"/>
          <w:sz w:val="24"/>
        </w:rPr>
      </w:pPr>
      <w:r>
        <w:rPr>
          <w:rFonts w:ascii="宋体" w:hAnsi="宋体" w:hint="eastAsia"/>
          <w:sz w:val="24"/>
        </w:rPr>
        <w:t xml:space="preserve">1.1 </w:t>
      </w:r>
      <w:r>
        <w:rPr>
          <w:rFonts w:ascii="宋体" w:hAnsi="宋体" w:hint="eastAsia"/>
          <w:sz w:val="24"/>
        </w:rPr>
        <w:t>任务来源</w:t>
      </w:r>
    </w:p>
    <w:p w:rsidR="00EE080D" w:rsidRDefault="00C04E08">
      <w:pPr>
        <w:widowControl/>
        <w:spacing w:line="360" w:lineRule="auto"/>
        <w:ind w:firstLineChars="200" w:firstLine="480"/>
        <w:jc w:val="left"/>
        <w:rPr>
          <w:rFonts w:ascii="宋体" w:hAnsi="宋体"/>
          <w:kern w:val="0"/>
          <w:sz w:val="24"/>
          <w:lang w:val="zh-CN"/>
        </w:rPr>
      </w:pPr>
      <w:r>
        <w:rPr>
          <w:rFonts w:ascii="宋体" w:hAnsi="宋体" w:hint="eastAsia"/>
          <w:kern w:val="0"/>
          <w:sz w:val="24"/>
        </w:rPr>
        <w:t>《汽车车身铝合金板材复合涂层加速腐蚀试验方法》团体标准是由中国汽车工程学会批准立项，</w:t>
      </w:r>
      <w:r>
        <w:rPr>
          <w:rFonts w:ascii="宋体" w:hAnsi="宋体" w:hint="eastAsia"/>
          <w:color w:val="FF0000"/>
          <w:kern w:val="0"/>
          <w:sz w:val="24"/>
        </w:rPr>
        <w:t>文件号中汽学函【</w:t>
      </w:r>
      <w:r>
        <w:rPr>
          <w:rFonts w:ascii="宋体" w:hAnsi="宋体" w:hint="eastAsia"/>
          <w:color w:val="FF0000"/>
          <w:kern w:val="0"/>
          <w:sz w:val="24"/>
        </w:rPr>
        <w:t>2018</w:t>
      </w:r>
      <w:r>
        <w:rPr>
          <w:rFonts w:ascii="宋体" w:hAnsi="宋体" w:hint="eastAsia"/>
          <w:color w:val="FF0000"/>
          <w:kern w:val="0"/>
          <w:sz w:val="24"/>
        </w:rPr>
        <w:t>】</w:t>
      </w:r>
      <w:r>
        <w:rPr>
          <w:rFonts w:ascii="宋体" w:hAnsi="宋体" w:hint="eastAsia"/>
          <w:color w:val="FF0000"/>
          <w:kern w:val="0"/>
          <w:sz w:val="24"/>
        </w:rPr>
        <w:t>57</w:t>
      </w:r>
      <w:r>
        <w:rPr>
          <w:rFonts w:ascii="宋体" w:hAnsi="宋体" w:hint="eastAsia"/>
          <w:color w:val="FF0000"/>
          <w:kern w:val="0"/>
          <w:sz w:val="24"/>
        </w:rPr>
        <w:t>号，任务号为</w:t>
      </w:r>
      <w:r>
        <w:rPr>
          <w:rFonts w:ascii="宋体" w:hAnsi="宋体" w:hint="eastAsia"/>
          <w:color w:val="FF0000"/>
          <w:kern w:val="0"/>
          <w:sz w:val="24"/>
        </w:rPr>
        <w:t>2018-</w:t>
      </w:r>
      <w:r>
        <w:rPr>
          <w:rFonts w:ascii="宋体" w:hAnsi="宋体" w:hint="eastAsia"/>
          <w:color w:val="FF0000"/>
          <w:kern w:val="0"/>
          <w:sz w:val="24"/>
        </w:rPr>
        <w:t>4</w:t>
      </w:r>
      <w:r>
        <w:rPr>
          <w:rFonts w:ascii="宋体" w:hAnsi="宋体" w:hint="eastAsia"/>
          <w:color w:val="FF0000"/>
          <w:kern w:val="0"/>
          <w:sz w:val="24"/>
        </w:rPr>
        <w:t>(</w:t>
      </w:r>
      <w:r>
        <w:rPr>
          <w:rFonts w:ascii="宋体" w:hAnsi="宋体" w:hint="eastAsia"/>
          <w:color w:val="FF0000"/>
          <w:kern w:val="0"/>
          <w:sz w:val="24"/>
        </w:rPr>
        <w:t>由</w:t>
      </w:r>
      <w:r>
        <w:rPr>
          <w:rFonts w:ascii="宋体" w:hAnsi="宋体"/>
          <w:color w:val="FF0000"/>
          <w:kern w:val="0"/>
          <w:sz w:val="24"/>
        </w:rPr>
        <w:t>学会</w:t>
      </w:r>
      <w:r>
        <w:rPr>
          <w:rFonts w:ascii="宋体" w:hAnsi="宋体" w:hint="eastAsia"/>
          <w:color w:val="FF0000"/>
          <w:kern w:val="0"/>
          <w:sz w:val="24"/>
        </w:rPr>
        <w:t>填写</w:t>
      </w:r>
      <w:r>
        <w:rPr>
          <w:rFonts w:ascii="宋体" w:hAnsi="宋体" w:hint="eastAsia"/>
          <w:color w:val="FF0000"/>
          <w:kern w:val="0"/>
          <w:sz w:val="24"/>
        </w:rPr>
        <w:t>)</w:t>
      </w:r>
      <w:r>
        <w:rPr>
          <w:rFonts w:ascii="宋体" w:hAnsi="宋体" w:hint="eastAsia"/>
          <w:kern w:val="0"/>
          <w:sz w:val="24"/>
        </w:rPr>
        <w:t>。本标准由中国汽车工程学会防腐蚀</w:t>
      </w:r>
      <w:r>
        <w:rPr>
          <w:rFonts w:ascii="宋体" w:hAnsi="宋体"/>
          <w:kern w:val="0"/>
          <w:sz w:val="24"/>
        </w:rPr>
        <w:t>老化</w:t>
      </w:r>
      <w:r>
        <w:rPr>
          <w:rFonts w:ascii="宋体" w:hAnsi="宋体" w:hint="eastAsia"/>
          <w:kern w:val="0"/>
          <w:sz w:val="24"/>
        </w:rPr>
        <w:t>分会提出，</w:t>
      </w:r>
      <w:r>
        <w:rPr>
          <w:rFonts w:ascii="宋体" w:hAnsi="宋体" w:hint="eastAsia"/>
          <w:kern w:val="0"/>
          <w:sz w:val="24"/>
          <w:lang w:val="zh-CN"/>
        </w:rPr>
        <w:t>安徽江淮汽车集团股份有限公司、浙江众泰汽车制造有限公司、美国</w:t>
      </w:r>
      <w:r>
        <w:rPr>
          <w:rFonts w:ascii="宋体" w:hAnsi="宋体" w:hint="eastAsia"/>
          <w:kern w:val="0"/>
          <w:sz w:val="24"/>
          <w:lang w:val="zh-CN"/>
        </w:rPr>
        <w:t>Q-Lab</w:t>
      </w:r>
      <w:r>
        <w:rPr>
          <w:rFonts w:ascii="宋体" w:hAnsi="宋体" w:hint="eastAsia"/>
          <w:kern w:val="0"/>
          <w:sz w:val="24"/>
          <w:lang w:val="zh-CN"/>
        </w:rPr>
        <w:t>公司中国代表处、中国第一汽车股份有限公司天津技术开发分公司、北京奔驰汽车有限公司、阿克苏诺贝尔（中国）投资有限公司、威凯检测技术有限公司武汉分公司、深圳市美信检测技术股份有限公司、海南热带汽车试验有限公司、辽宁忠旺集团有限公司忠旺研究院、上海凯密特尔化学品有限公司、帝业化学品（上海）有限公司、常州市武进晨光金属涂料有限公司、广西南南铝加工有限公司、通标标准技术服务（上海）有限公司、比亚迪汽车工业有限公司，苏州市信测标准技术服务有限公司，北</w:t>
      </w:r>
      <w:r>
        <w:rPr>
          <w:rFonts w:ascii="宋体" w:hAnsi="宋体" w:hint="eastAsia"/>
          <w:kern w:val="0"/>
          <w:sz w:val="24"/>
          <w:lang w:val="zh-CN"/>
        </w:rPr>
        <w:t>京新能源汽车股份有限公司、宝钢股份技术中心、上汽大众汽车有限公司、上海华测品正检测技术有限公司等单位起草。</w:t>
      </w:r>
    </w:p>
    <w:p w:rsidR="00EE080D" w:rsidRDefault="00C04E08">
      <w:pPr>
        <w:spacing w:line="360" w:lineRule="auto"/>
        <w:ind w:firstLineChars="202" w:firstLine="485"/>
        <w:rPr>
          <w:rFonts w:ascii="宋体" w:hAnsi="宋体"/>
          <w:sz w:val="24"/>
        </w:rPr>
      </w:pPr>
      <w:r>
        <w:rPr>
          <w:rFonts w:ascii="宋体" w:hAnsi="宋体" w:hint="eastAsia"/>
          <w:sz w:val="24"/>
        </w:rPr>
        <w:t>1.2</w:t>
      </w:r>
      <w:r>
        <w:rPr>
          <w:rFonts w:ascii="宋体" w:hAnsi="宋体" w:hint="eastAsia"/>
          <w:sz w:val="24"/>
        </w:rPr>
        <w:t xml:space="preserve"> </w:t>
      </w:r>
      <w:r>
        <w:rPr>
          <w:rFonts w:ascii="宋体" w:hAnsi="宋体" w:hint="eastAsia"/>
          <w:sz w:val="24"/>
        </w:rPr>
        <w:t>编制背景与目标</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随着节能减排绿色出行的环保观念深入人心，汽车材料轻量化成为</w:t>
      </w:r>
      <w:r>
        <w:rPr>
          <w:rFonts w:ascii="宋体" w:hAnsi="宋体" w:hint="eastAsia"/>
          <w:kern w:val="0"/>
          <w:sz w:val="24"/>
        </w:rPr>
        <w:t>汽车</w:t>
      </w:r>
      <w:r>
        <w:rPr>
          <w:rFonts w:ascii="宋体" w:hAnsi="宋体" w:hint="eastAsia"/>
          <w:kern w:val="0"/>
          <w:sz w:val="24"/>
        </w:rPr>
        <w:t>OEM</w:t>
      </w:r>
      <w:r>
        <w:rPr>
          <w:rFonts w:ascii="宋体" w:hAnsi="宋体" w:hint="eastAsia"/>
          <w:kern w:val="0"/>
          <w:sz w:val="24"/>
        </w:rPr>
        <w:t>工程师的共识。铝合金材料在传统燃油车领域应用日益广泛，在新能源汽车领域则担当了主要角色。然而铝合金</w:t>
      </w:r>
      <w:r>
        <w:rPr>
          <w:rFonts w:ascii="宋体" w:hAnsi="宋体" w:hint="eastAsia"/>
          <w:kern w:val="0"/>
          <w:sz w:val="24"/>
        </w:rPr>
        <w:t>涂层耐腐蚀性能检测方法</w:t>
      </w:r>
      <w:r>
        <w:rPr>
          <w:rFonts w:ascii="宋体" w:hAnsi="宋体" w:hint="eastAsia"/>
          <w:kern w:val="0"/>
          <w:sz w:val="24"/>
        </w:rPr>
        <w:t>行业内没有明确要求，甚至部分铝合金零件不进行任何表面处理，凭借自然氧化膜进行腐蚀防护，为汽车</w:t>
      </w:r>
      <w:r>
        <w:rPr>
          <w:rFonts w:ascii="宋体" w:hAnsi="宋体" w:hint="eastAsia"/>
          <w:kern w:val="0"/>
          <w:sz w:val="24"/>
        </w:rPr>
        <w:t>使用寿命</w:t>
      </w:r>
      <w:r>
        <w:rPr>
          <w:rFonts w:ascii="宋体" w:hAnsi="宋体" w:hint="eastAsia"/>
          <w:kern w:val="0"/>
          <w:sz w:val="24"/>
        </w:rPr>
        <w:t>带来巨大</w:t>
      </w:r>
      <w:r>
        <w:rPr>
          <w:rFonts w:ascii="宋体" w:hAnsi="宋体" w:hint="eastAsia"/>
          <w:kern w:val="0"/>
          <w:sz w:val="24"/>
        </w:rPr>
        <w:t>安全</w:t>
      </w:r>
      <w:r>
        <w:rPr>
          <w:rFonts w:ascii="宋体" w:hAnsi="宋体" w:hint="eastAsia"/>
          <w:kern w:val="0"/>
          <w:sz w:val="24"/>
        </w:rPr>
        <w:t>隐患。因此中国汽车行业急需一份</w:t>
      </w:r>
      <w:r>
        <w:rPr>
          <w:rFonts w:ascii="宋体" w:hAnsi="宋体" w:hint="eastAsia"/>
          <w:kern w:val="0"/>
          <w:sz w:val="24"/>
        </w:rPr>
        <w:t>汽车车身</w:t>
      </w:r>
      <w:r>
        <w:rPr>
          <w:rFonts w:ascii="宋体" w:hAnsi="宋体" w:hint="eastAsia"/>
          <w:kern w:val="0"/>
          <w:sz w:val="24"/>
        </w:rPr>
        <w:t>铝合金</w:t>
      </w:r>
      <w:r>
        <w:rPr>
          <w:rFonts w:ascii="宋体" w:hAnsi="宋体" w:hint="eastAsia"/>
          <w:kern w:val="0"/>
          <w:sz w:val="24"/>
        </w:rPr>
        <w:t>复合</w:t>
      </w:r>
      <w:r>
        <w:rPr>
          <w:rFonts w:ascii="宋体" w:hAnsi="宋体" w:hint="eastAsia"/>
          <w:kern w:val="0"/>
          <w:sz w:val="24"/>
        </w:rPr>
        <w:t>涂层</w:t>
      </w:r>
      <w:r>
        <w:rPr>
          <w:rFonts w:ascii="宋体" w:hAnsi="宋体" w:hint="eastAsia"/>
          <w:kern w:val="0"/>
          <w:sz w:val="24"/>
        </w:rPr>
        <w:t>加速耐</w:t>
      </w:r>
      <w:r>
        <w:rPr>
          <w:rFonts w:ascii="宋体" w:hAnsi="宋体" w:hint="eastAsia"/>
          <w:kern w:val="0"/>
          <w:sz w:val="24"/>
        </w:rPr>
        <w:t>腐蚀试验方法，作为铝合金车身及零部件耐腐蚀性能评估</w:t>
      </w:r>
      <w:r>
        <w:rPr>
          <w:rFonts w:ascii="宋体" w:hAnsi="宋体" w:hint="eastAsia"/>
          <w:kern w:val="0"/>
          <w:sz w:val="24"/>
        </w:rPr>
        <w:t>及生产管控的</w:t>
      </w:r>
      <w:r>
        <w:rPr>
          <w:rFonts w:ascii="宋体" w:hAnsi="宋体" w:hint="eastAsia"/>
          <w:kern w:val="0"/>
          <w:sz w:val="24"/>
        </w:rPr>
        <w:t>依据。</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目前，国内汽车行业没有针对铝合金涂层耐腐蚀性</w:t>
      </w:r>
      <w:r>
        <w:rPr>
          <w:rFonts w:ascii="宋体" w:hAnsi="宋体" w:hint="eastAsia"/>
          <w:kern w:val="0"/>
          <w:sz w:val="24"/>
        </w:rPr>
        <w:t>能</w:t>
      </w:r>
      <w:r>
        <w:rPr>
          <w:rFonts w:ascii="宋体" w:hAnsi="宋体" w:hint="eastAsia"/>
          <w:kern w:val="0"/>
          <w:sz w:val="24"/>
        </w:rPr>
        <w:t>的试验方法。为满足对汽车铝合金零部件的质量验证和质量改进，铝合金氧化膜一般采用</w:t>
      </w:r>
      <w:r>
        <w:rPr>
          <w:rFonts w:ascii="宋体" w:hAnsi="宋体" w:hint="eastAsia"/>
          <w:kern w:val="0"/>
          <w:sz w:val="24"/>
        </w:rPr>
        <w:t>GB</w:t>
      </w:r>
      <w:r>
        <w:rPr>
          <w:rFonts w:ascii="宋体" w:hAnsi="宋体" w:hint="eastAsia"/>
          <w:kern w:val="0"/>
          <w:sz w:val="24"/>
        </w:rPr>
        <w:t>／</w:t>
      </w:r>
      <w:r>
        <w:rPr>
          <w:rFonts w:ascii="宋体" w:hAnsi="宋体" w:hint="eastAsia"/>
          <w:kern w:val="0"/>
          <w:sz w:val="24"/>
        </w:rPr>
        <w:t>T 10125</w:t>
      </w:r>
      <w:r>
        <w:rPr>
          <w:rFonts w:ascii="宋体" w:hAnsi="宋体" w:hint="eastAsia"/>
          <w:kern w:val="0"/>
          <w:sz w:val="24"/>
        </w:rPr>
        <w:t>中</w:t>
      </w:r>
      <w:r>
        <w:rPr>
          <w:rFonts w:ascii="宋体" w:hAnsi="宋体" w:hint="eastAsia"/>
          <w:kern w:val="0"/>
          <w:sz w:val="24"/>
        </w:rPr>
        <w:t>CASS</w:t>
      </w:r>
      <w:r>
        <w:rPr>
          <w:rFonts w:ascii="宋体" w:hAnsi="宋体" w:hint="eastAsia"/>
          <w:kern w:val="0"/>
          <w:sz w:val="24"/>
        </w:rPr>
        <w:t>方法进行测试，铝合金粉末喷涂借鉴建筑行业铝合金粉末喷涂标准测试，但评价标准各车企差距较大，因与钢铁腐蚀机理不同，无法借鉴。国外德国宝马、大众等公司已经推出了铝合金加速腐蚀试验方法，用来考察相关零部件的耐蚀性能。</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lastRenderedPageBreak/>
        <w:t>目前中国自主汽车品牌铝合金防腐技术与验证方法处于发展初期，开发与国内大气腐蚀</w:t>
      </w:r>
      <w:r>
        <w:rPr>
          <w:rFonts w:ascii="宋体" w:hAnsi="宋体" w:hint="eastAsia"/>
          <w:kern w:val="0"/>
          <w:sz w:val="24"/>
        </w:rPr>
        <w:t>相关性好、试验</w:t>
      </w:r>
      <w:r>
        <w:rPr>
          <w:rFonts w:ascii="宋体" w:hAnsi="宋体" w:hint="eastAsia"/>
          <w:kern w:val="0"/>
          <w:sz w:val="24"/>
        </w:rPr>
        <w:t>方法方便快捷</w:t>
      </w:r>
      <w:r>
        <w:rPr>
          <w:rFonts w:ascii="宋体" w:hAnsi="宋体" w:hint="eastAsia"/>
          <w:kern w:val="0"/>
          <w:sz w:val="24"/>
        </w:rPr>
        <w:t>的铝合金</w:t>
      </w:r>
      <w:r>
        <w:rPr>
          <w:rFonts w:ascii="宋体" w:hAnsi="宋体" w:hint="eastAsia"/>
          <w:kern w:val="0"/>
          <w:sz w:val="24"/>
        </w:rPr>
        <w:t>复合</w:t>
      </w:r>
      <w:r>
        <w:rPr>
          <w:rFonts w:ascii="宋体" w:hAnsi="宋体" w:hint="eastAsia"/>
          <w:kern w:val="0"/>
          <w:sz w:val="24"/>
        </w:rPr>
        <w:t>涂层加速腐蚀试验方法符合中国汽车</w:t>
      </w:r>
      <w:r>
        <w:rPr>
          <w:rFonts w:ascii="宋体" w:hAnsi="宋体" w:hint="eastAsia"/>
          <w:kern w:val="0"/>
          <w:sz w:val="24"/>
        </w:rPr>
        <w:t>工业车身轻量化的</w:t>
      </w:r>
      <w:r>
        <w:rPr>
          <w:rFonts w:ascii="宋体" w:hAnsi="宋体" w:hint="eastAsia"/>
          <w:kern w:val="0"/>
          <w:sz w:val="24"/>
        </w:rPr>
        <w:t>发展需求。</w:t>
      </w:r>
    </w:p>
    <w:p w:rsidR="00EE080D" w:rsidRDefault="00EE080D">
      <w:pPr>
        <w:spacing w:line="360" w:lineRule="auto"/>
        <w:ind w:firstLineChars="202" w:firstLine="485"/>
        <w:rPr>
          <w:rFonts w:ascii="宋体" w:hAnsi="宋体"/>
          <w:sz w:val="24"/>
        </w:rPr>
      </w:pPr>
    </w:p>
    <w:p w:rsidR="00EE080D" w:rsidRDefault="00C04E08">
      <w:pPr>
        <w:spacing w:line="360" w:lineRule="auto"/>
        <w:ind w:firstLineChars="202" w:firstLine="485"/>
        <w:rPr>
          <w:rFonts w:ascii="宋体" w:hAnsi="宋体"/>
          <w:sz w:val="24"/>
        </w:rPr>
      </w:pPr>
      <w:r>
        <w:rPr>
          <w:rFonts w:ascii="宋体" w:hAnsi="宋体" w:hint="eastAsia"/>
          <w:sz w:val="24"/>
        </w:rPr>
        <w:t>1.3</w:t>
      </w:r>
      <w:r>
        <w:rPr>
          <w:rFonts w:ascii="宋体" w:hAnsi="宋体" w:hint="eastAsia"/>
          <w:sz w:val="24"/>
        </w:rPr>
        <w:t>主要工作过程</w:t>
      </w:r>
    </w:p>
    <w:p w:rsidR="00EE080D" w:rsidRDefault="00C04E08">
      <w:pPr>
        <w:spacing w:line="360" w:lineRule="auto"/>
        <w:ind w:firstLineChars="200" w:firstLine="480"/>
        <w:rPr>
          <w:rFonts w:ascii="宋体" w:hAnsi="宋体"/>
          <w:kern w:val="0"/>
          <w:sz w:val="24"/>
        </w:rPr>
      </w:pPr>
      <w:r>
        <w:rPr>
          <w:rFonts w:ascii="宋体" w:hAnsi="宋体" w:hint="eastAsia"/>
          <w:kern w:val="0"/>
          <w:sz w:val="24"/>
        </w:rPr>
        <w:t>本标准于</w:t>
      </w:r>
      <w:r>
        <w:rPr>
          <w:rFonts w:ascii="宋体" w:hAnsi="宋体" w:hint="eastAsia"/>
          <w:kern w:val="0"/>
          <w:sz w:val="24"/>
        </w:rPr>
        <w:t>201</w:t>
      </w:r>
      <w:r>
        <w:rPr>
          <w:rFonts w:ascii="宋体" w:hAnsi="宋体" w:hint="eastAsia"/>
          <w:kern w:val="0"/>
          <w:sz w:val="24"/>
        </w:rPr>
        <w:t>8</w:t>
      </w:r>
      <w:r>
        <w:rPr>
          <w:rFonts w:ascii="宋体" w:hAnsi="宋体" w:hint="eastAsia"/>
          <w:kern w:val="0"/>
          <w:sz w:val="24"/>
        </w:rPr>
        <w:t>年</w:t>
      </w:r>
      <w:r>
        <w:rPr>
          <w:rFonts w:ascii="宋体" w:hAnsi="宋体"/>
          <w:kern w:val="0"/>
          <w:sz w:val="24"/>
        </w:rPr>
        <w:t>1</w:t>
      </w:r>
      <w:r>
        <w:rPr>
          <w:rFonts w:ascii="宋体" w:hAnsi="宋体" w:hint="eastAsia"/>
          <w:kern w:val="0"/>
          <w:sz w:val="24"/>
        </w:rPr>
        <w:t>月开始</w:t>
      </w:r>
      <w:r>
        <w:rPr>
          <w:rFonts w:ascii="宋体" w:hAnsi="宋体" w:hint="eastAsia"/>
          <w:kern w:val="0"/>
          <w:sz w:val="24"/>
        </w:rPr>
        <w:t>收集</w:t>
      </w:r>
      <w:r>
        <w:rPr>
          <w:rFonts w:ascii="宋体" w:hAnsi="宋体" w:hint="eastAsia"/>
          <w:kern w:val="0"/>
          <w:sz w:val="24"/>
        </w:rPr>
        <w:t>标准</w:t>
      </w:r>
      <w:r>
        <w:rPr>
          <w:rFonts w:ascii="宋体" w:hAnsi="宋体" w:hint="eastAsia"/>
          <w:kern w:val="0"/>
          <w:sz w:val="24"/>
        </w:rPr>
        <w:t>并</w:t>
      </w:r>
      <w:r>
        <w:rPr>
          <w:rFonts w:ascii="宋体" w:hAnsi="宋体" w:hint="eastAsia"/>
          <w:kern w:val="0"/>
          <w:sz w:val="24"/>
        </w:rPr>
        <w:t>学习</w:t>
      </w:r>
      <w:r>
        <w:rPr>
          <w:rFonts w:ascii="宋体" w:hAnsi="宋体" w:hint="eastAsia"/>
          <w:kern w:val="0"/>
          <w:sz w:val="24"/>
        </w:rPr>
        <w:t>研讨。</w:t>
      </w:r>
    </w:p>
    <w:p w:rsidR="00EE080D" w:rsidRDefault="00C04E08">
      <w:pPr>
        <w:spacing w:line="360" w:lineRule="auto"/>
        <w:ind w:firstLineChars="200" w:firstLine="480"/>
        <w:rPr>
          <w:rFonts w:ascii="宋体" w:hAnsi="宋体"/>
          <w:kern w:val="0"/>
          <w:sz w:val="24"/>
        </w:rPr>
      </w:pPr>
      <w:r>
        <w:rPr>
          <w:rFonts w:ascii="宋体" w:hAnsi="宋体" w:hint="eastAsia"/>
          <w:kern w:val="0"/>
          <w:sz w:val="24"/>
        </w:rPr>
        <w:t>201</w:t>
      </w:r>
      <w:r>
        <w:rPr>
          <w:rFonts w:ascii="宋体" w:hAnsi="宋体" w:hint="eastAsia"/>
          <w:kern w:val="0"/>
          <w:sz w:val="24"/>
        </w:rPr>
        <w:t>8</w:t>
      </w:r>
      <w:r>
        <w:rPr>
          <w:rFonts w:ascii="宋体" w:hAnsi="宋体" w:hint="eastAsia"/>
          <w:kern w:val="0"/>
          <w:sz w:val="24"/>
        </w:rPr>
        <w:t>年</w:t>
      </w:r>
      <w:r>
        <w:rPr>
          <w:rFonts w:ascii="宋体" w:hAnsi="宋体"/>
          <w:kern w:val="0"/>
          <w:sz w:val="24"/>
        </w:rPr>
        <w:t>5</w:t>
      </w:r>
      <w:r>
        <w:rPr>
          <w:rFonts w:ascii="宋体" w:hAnsi="宋体" w:hint="eastAsia"/>
          <w:kern w:val="0"/>
          <w:sz w:val="24"/>
        </w:rPr>
        <w:t>月</w:t>
      </w:r>
      <w:r>
        <w:rPr>
          <w:rFonts w:ascii="宋体" w:hAnsi="宋体" w:hint="eastAsia"/>
          <w:kern w:val="0"/>
          <w:sz w:val="24"/>
        </w:rPr>
        <w:t>11</w:t>
      </w:r>
      <w:r>
        <w:rPr>
          <w:rFonts w:ascii="宋体" w:hAnsi="宋体" w:hint="eastAsia"/>
          <w:kern w:val="0"/>
          <w:sz w:val="24"/>
        </w:rPr>
        <w:t>日</w:t>
      </w:r>
      <w:r>
        <w:rPr>
          <w:rFonts w:ascii="宋体" w:hAnsi="宋体" w:hint="eastAsia"/>
          <w:kern w:val="0"/>
          <w:sz w:val="24"/>
        </w:rPr>
        <w:t>由江淮汽车、众泰汽车以及</w:t>
      </w:r>
      <w:r>
        <w:rPr>
          <w:rFonts w:ascii="宋体" w:hAnsi="宋体" w:hint="eastAsia"/>
          <w:kern w:val="0"/>
          <w:sz w:val="24"/>
        </w:rPr>
        <w:t>QLAB</w:t>
      </w:r>
      <w:r>
        <w:rPr>
          <w:rFonts w:ascii="宋体" w:hAnsi="宋体" w:hint="eastAsia"/>
          <w:kern w:val="0"/>
          <w:sz w:val="24"/>
        </w:rPr>
        <w:t>公司三方主要标准参与人进行方案研讨，形成初步的方案。</w:t>
      </w:r>
    </w:p>
    <w:p w:rsidR="00EE080D" w:rsidRDefault="00C04E08">
      <w:pPr>
        <w:spacing w:line="360" w:lineRule="auto"/>
        <w:ind w:firstLineChars="200" w:firstLine="480"/>
        <w:rPr>
          <w:rFonts w:ascii="宋体" w:hAnsi="宋体"/>
          <w:kern w:val="0"/>
          <w:sz w:val="24"/>
        </w:rPr>
      </w:pPr>
      <w:r>
        <w:rPr>
          <w:rFonts w:ascii="宋体" w:hAnsi="宋体" w:hint="eastAsia"/>
          <w:kern w:val="0"/>
          <w:sz w:val="24"/>
        </w:rPr>
        <w:t>201</w:t>
      </w:r>
      <w:r>
        <w:rPr>
          <w:rFonts w:ascii="宋体" w:hAnsi="宋体" w:hint="eastAsia"/>
          <w:kern w:val="0"/>
          <w:sz w:val="24"/>
        </w:rPr>
        <w:t>8</w:t>
      </w:r>
      <w:r>
        <w:rPr>
          <w:rFonts w:ascii="宋体" w:hAnsi="宋体" w:hint="eastAsia"/>
          <w:kern w:val="0"/>
          <w:sz w:val="24"/>
        </w:rPr>
        <w:t>年</w:t>
      </w:r>
      <w:r>
        <w:rPr>
          <w:rFonts w:ascii="宋体" w:hAnsi="宋体" w:hint="eastAsia"/>
          <w:kern w:val="0"/>
          <w:sz w:val="24"/>
        </w:rPr>
        <w:t>5</w:t>
      </w:r>
      <w:r>
        <w:rPr>
          <w:rFonts w:ascii="宋体" w:hAnsi="宋体" w:hint="eastAsia"/>
          <w:kern w:val="0"/>
          <w:sz w:val="24"/>
        </w:rPr>
        <w:t>月</w:t>
      </w:r>
      <w:r>
        <w:rPr>
          <w:rFonts w:ascii="宋体" w:hAnsi="宋体" w:hint="eastAsia"/>
          <w:kern w:val="0"/>
          <w:sz w:val="24"/>
        </w:rPr>
        <w:t>2</w:t>
      </w:r>
      <w:r>
        <w:rPr>
          <w:rFonts w:ascii="宋体" w:hAnsi="宋体" w:hint="eastAsia"/>
          <w:kern w:val="0"/>
          <w:sz w:val="24"/>
        </w:rPr>
        <w:t>3</w:t>
      </w:r>
      <w:r>
        <w:rPr>
          <w:rFonts w:ascii="宋体" w:hAnsi="宋体" w:hint="eastAsia"/>
          <w:kern w:val="0"/>
          <w:sz w:val="24"/>
        </w:rPr>
        <w:t>日由</w:t>
      </w:r>
      <w:r>
        <w:rPr>
          <w:rFonts w:ascii="宋体" w:hAnsi="宋体" w:hint="eastAsia"/>
          <w:kern w:val="0"/>
          <w:sz w:val="24"/>
        </w:rPr>
        <w:t>江淮汽车</w:t>
      </w:r>
      <w:r>
        <w:rPr>
          <w:rFonts w:ascii="宋体" w:hAnsi="宋体" w:hint="eastAsia"/>
          <w:kern w:val="0"/>
          <w:sz w:val="24"/>
        </w:rPr>
        <w:t>主持召开了标准工作组筹备会议，成立标准工作筹备小组，</w:t>
      </w:r>
      <w:r>
        <w:rPr>
          <w:rFonts w:ascii="宋体" w:hAnsi="宋体" w:hint="eastAsia"/>
          <w:kern w:val="0"/>
          <w:sz w:val="24"/>
        </w:rPr>
        <w:t>发布标准制作过程的初步试验方案并讨论确认，</w:t>
      </w:r>
      <w:r>
        <w:rPr>
          <w:rFonts w:ascii="宋体" w:hAnsi="宋体" w:hint="eastAsia"/>
          <w:kern w:val="0"/>
          <w:sz w:val="24"/>
        </w:rPr>
        <w:t>进入标准工作组筹备阶段。</w:t>
      </w:r>
    </w:p>
    <w:p w:rsidR="00EE080D" w:rsidRDefault="00C04E08">
      <w:pPr>
        <w:spacing w:line="360" w:lineRule="auto"/>
        <w:ind w:firstLineChars="200" w:firstLine="480"/>
        <w:rPr>
          <w:rFonts w:ascii="宋体" w:hAnsi="宋体"/>
          <w:kern w:val="0"/>
          <w:sz w:val="24"/>
        </w:rPr>
      </w:pPr>
      <w:r>
        <w:rPr>
          <w:rFonts w:ascii="宋体" w:hAnsi="宋体" w:hint="eastAsia"/>
          <w:kern w:val="0"/>
          <w:sz w:val="24"/>
        </w:rPr>
        <w:t>201</w:t>
      </w:r>
      <w:r>
        <w:rPr>
          <w:rFonts w:ascii="宋体" w:hAnsi="宋体" w:hint="eastAsia"/>
          <w:kern w:val="0"/>
          <w:sz w:val="24"/>
        </w:rPr>
        <w:t>8</w:t>
      </w:r>
      <w:r>
        <w:rPr>
          <w:rFonts w:ascii="宋体" w:hAnsi="宋体" w:hint="eastAsia"/>
          <w:kern w:val="0"/>
          <w:sz w:val="24"/>
        </w:rPr>
        <w:t>年</w:t>
      </w:r>
      <w:r>
        <w:rPr>
          <w:rFonts w:ascii="宋体" w:hAnsi="宋体" w:hint="eastAsia"/>
          <w:kern w:val="0"/>
          <w:sz w:val="24"/>
        </w:rPr>
        <w:t>6</w:t>
      </w:r>
      <w:r>
        <w:rPr>
          <w:rFonts w:ascii="宋体" w:hAnsi="宋体" w:hint="eastAsia"/>
          <w:kern w:val="0"/>
          <w:sz w:val="24"/>
        </w:rPr>
        <w:t>标准工作小组确认了本标准需要开展的试验具体方案，通过采用四种实验室试验舱加速腐蚀试验与户外海南整车道路强化腐蚀试验结果进行对比，得出最佳的实验舱加速腐蚀试验方法。具体确认了</w:t>
      </w:r>
      <w:r>
        <w:rPr>
          <w:rFonts w:ascii="宋体" w:hAnsi="宋体" w:hint="eastAsia"/>
          <w:kern w:val="0"/>
          <w:sz w:val="24"/>
        </w:rPr>
        <w:t>AASS/CASS/FILIFORM/CATCH</w:t>
      </w:r>
      <w:r>
        <w:rPr>
          <w:rFonts w:ascii="宋体" w:hAnsi="宋体" w:hint="eastAsia"/>
          <w:kern w:val="0"/>
          <w:sz w:val="24"/>
        </w:rPr>
        <w:t>四种户内试验结果和户外海南盐水试验结果与海南整车道路强化腐蚀试验结果做对比。</w:t>
      </w:r>
    </w:p>
    <w:p w:rsidR="00EE080D" w:rsidRDefault="00C04E08">
      <w:pPr>
        <w:spacing w:line="360" w:lineRule="auto"/>
        <w:ind w:firstLineChars="200" w:firstLine="480"/>
        <w:rPr>
          <w:rFonts w:ascii="宋体" w:hAnsi="宋体"/>
          <w:kern w:val="0"/>
          <w:sz w:val="24"/>
        </w:rPr>
      </w:pPr>
      <w:r>
        <w:rPr>
          <w:rFonts w:ascii="宋体" w:hAnsi="宋体" w:hint="eastAsia"/>
          <w:kern w:val="0"/>
          <w:sz w:val="24"/>
        </w:rPr>
        <w:t>2018</w:t>
      </w:r>
      <w:r>
        <w:rPr>
          <w:rFonts w:ascii="宋体" w:hAnsi="宋体" w:hint="eastAsia"/>
          <w:kern w:val="0"/>
          <w:sz w:val="24"/>
        </w:rPr>
        <w:t>年</w:t>
      </w:r>
      <w:r>
        <w:rPr>
          <w:rFonts w:ascii="宋体" w:hAnsi="宋体" w:hint="eastAsia"/>
          <w:kern w:val="0"/>
          <w:sz w:val="24"/>
        </w:rPr>
        <w:t>7</w:t>
      </w:r>
      <w:r>
        <w:rPr>
          <w:rFonts w:ascii="宋体" w:hAnsi="宋体" w:hint="eastAsia"/>
          <w:kern w:val="0"/>
          <w:sz w:val="24"/>
        </w:rPr>
        <w:t>月完成试验样板制板工作，一共</w:t>
      </w:r>
      <w:r>
        <w:rPr>
          <w:rFonts w:ascii="宋体" w:hAnsi="宋体" w:hint="eastAsia"/>
          <w:kern w:val="0"/>
          <w:sz w:val="24"/>
        </w:rPr>
        <w:t>1470</w:t>
      </w:r>
      <w:r>
        <w:rPr>
          <w:rFonts w:ascii="宋体" w:hAnsi="宋体" w:hint="eastAsia"/>
          <w:kern w:val="0"/>
          <w:sz w:val="24"/>
        </w:rPr>
        <w:t>块样板。</w:t>
      </w:r>
    </w:p>
    <w:p w:rsidR="00EE080D" w:rsidRDefault="00C04E08">
      <w:pPr>
        <w:spacing w:line="360" w:lineRule="auto"/>
        <w:ind w:firstLineChars="200" w:firstLine="480"/>
        <w:rPr>
          <w:rFonts w:ascii="宋体" w:hAnsi="宋体"/>
          <w:kern w:val="0"/>
          <w:sz w:val="24"/>
        </w:rPr>
      </w:pPr>
      <w:r>
        <w:rPr>
          <w:rFonts w:ascii="宋体" w:hAnsi="宋体" w:hint="eastAsia"/>
          <w:kern w:val="0"/>
          <w:sz w:val="24"/>
        </w:rPr>
        <w:t>2018</w:t>
      </w:r>
      <w:r>
        <w:rPr>
          <w:rFonts w:ascii="宋体" w:hAnsi="宋体" w:hint="eastAsia"/>
          <w:kern w:val="0"/>
          <w:sz w:val="24"/>
        </w:rPr>
        <w:t>年</w:t>
      </w:r>
      <w:r>
        <w:rPr>
          <w:rFonts w:ascii="宋体" w:hAnsi="宋体" w:hint="eastAsia"/>
          <w:kern w:val="0"/>
          <w:sz w:val="24"/>
        </w:rPr>
        <w:t>8</w:t>
      </w:r>
      <w:r>
        <w:rPr>
          <w:rFonts w:ascii="宋体" w:hAnsi="宋体" w:hint="eastAsia"/>
          <w:kern w:val="0"/>
          <w:sz w:val="24"/>
        </w:rPr>
        <w:t>月</w:t>
      </w:r>
      <w:r>
        <w:rPr>
          <w:rFonts w:ascii="宋体" w:hAnsi="宋体" w:hint="eastAsia"/>
          <w:kern w:val="0"/>
          <w:sz w:val="24"/>
        </w:rPr>
        <w:t>--2019</w:t>
      </w:r>
      <w:r>
        <w:rPr>
          <w:rFonts w:ascii="宋体" w:hAnsi="宋体" w:hint="eastAsia"/>
          <w:kern w:val="0"/>
          <w:sz w:val="24"/>
        </w:rPr>
        <w:t>年</w:t>
      </w:r>
      <w:r>
        <w:rPr>
          <w:rFonts w:ascii="宋体" w:hAnsi="宋体" w:hint="eastAsia"/>
          <w:kern w:val="0"/>
          <w:sz w:val="24"/>
        </w:rPr>
        <w:t>2</w:t>
      </w:r>
      <w:r>
        <w:rPr>
          <w:rFonts w:ascii="宋体" w:hAnsi="宋体" w:hint="eastAsia"/>
          <w:kern w:val="0"/>
          <w:sz w:val="24"/>
        </w:rPr>
        <w:t>月开始进行各项试验。其中，</w:t>
      </w:r>
      <w:r>
        <w:rPr>
          <w:rFonts w:ascii="宋体" w:hAnsi="宋体" w:hint="eastAsia"/>
          <w:kern w:val="0"/>
          <w:sz w:val="24"/>
        </w:rPr>
        <w:t>2018</w:t>
      </w:r>
      <w:r>
        <w:rPr>
          <w:rFonts w:ascii="宋体" w:hAnsi="宋体" w:hint="eastAsia"/>
          <w:kern w:val="0"/>
          <w:sz w:val="24"/>
        </w:rPr>
        <w:t>年</w:t>
      </w:r>
      <w:r>
        <w:rPr>
          <w:rFonts w:ascii="宋体" w:hAnsi="宋体" w:hint="eastAsia"/>
          <w:kern w:val="0"/>
          <w:sz w:val="24"/>
        </w:rPr>
        <w:t>12</w:t>
      </w:r>
      <w:r>
        <w:rPr>
          <w:rFonts w:ascii="宋体" w:hAnsi="宋体" w:hint="eastAsia"/>
          <w:kern w:val="0"/>
          <w:sz w:val="24"/>
        </w:rPr>
        <w:t>月组织召开第二次标准研讨会，对第一轮试验得出的一部分数据进行发布并讨论下阶段工作安排</w:t>
      </w:r>
      <w:r>
        <w:rPr>
          <w:rFonts w:ascii="宋体" w:hAnsi="宋体" w:hint="eastAsia"/>
          <w:kern w:val="0"/>
          <w:sz w:val="24"/>
        </w:rPr>
        <w:t>。</w:t>
      </w:r>
    </w:p>
    <w:p w:rsidR="00EE080D" w:rsidRDefault="00C04E08">
      <w:pPr>
        <w:spacing w:line="360" w:lineRule="auto"/>
        <w:ind w:firstLineChars="200" w:firstLine="480"/>
        <w:rPr>
          <w:rFonts w:ascii="宋体" w:hAnsi="宋体"/>
          <w:kern w:val="0"/>
          <w:sz w:val="24"/>
        </w:rPr>
      </w:pPr>
      <w:r>
        <w:rPr>
          <w:rFonts w:ascii="宋体" w:hAnsi="宋体" w:hint="eastAsia"/>
          <w:kern w:val="0"/>
          <w:sz w:val="24"/>
        </w:rPr>
        <w:t>2019</w:t>
      </w:r>
      <w:r>
        <w:rPr>
          <w:rFonts w:ascii="宋体" w:hAnsi="宋体" w:hint="eastAsia"/>
          <w:kern w:val="0"/>
          <w:sz w:val="24"/>
        </w:rPr>
        <w:t>年</w:t>
      </w:r>
      <w:r>
        <w:rPr>
          <w:rFonts w:ascii="宋体" w:hAnsi="宋体" w:hint="eastAsia"/>
          <w:kern w:val="0"/>
          <w:sz w:val="24"/>
        </w:rPr>
        <w:t>4</w:t>
      </w:r>
      <w:r>
        <w:rPr>
          <w:rFonts w:ascii="宋体" w:hAnsi="宋体" w:hint="eastAsia"/>
          <w:kern w:val="0"/>
          <w:sz w:val="24"/>
        </w:rPr>
        <w:t>月完成第一轮试验数据收集以及分析工作。</w:t>
      </w:r>
    </w:p>
    <w:p w:rsidR="00EE080D" w:rsidRDefault="00C04E08">
      <w:pPr>
        <w:spacing w:line="360" w:lineRule="auto"/>
        <w:ind w:firstLineChars="200" w:firstLine="480"/>
        <w:rPr>
          <w:rFonts w:ascii="宋体" w:hAnsi="宋体"/>
          <w:kern w:val="0"/>
          <w:sz w:val="24"/>
        </w:rPr>
      </w:pPr>
      <w:r>
        <w:rPr>
          <w:rFonts w:ascii="宋体" w:hAnsi="宋体" w:hint="eastAsia"/>
          <w:kern w:val="0"/>
          <w:sz w:val="24"/>
        </w:rPr>
        <w:t>2019</w:t>
      </w:r>
      <w:r>
        <w:rPr>
          <w:rFonts w:ascii="宋体" w:hAnsi="宋体" w:hint="eastAsia"/>
          <w:kern w:val="0"/>
          <w:sz w:val="24"/>
        </w:rPr>
        <w:t>年</w:t>
      </w:r>
      <w:r>
        <w:rPr>
          <w:rFonts w:ascii="宋体" w:hAnsi="宋体" w:hint="eastAsia"/>
          <w:kern w:val="0"/>
          <w:sz w:val="24"/>
        </w:rPr>
        <w:t>5</w:t>
      </w:r>
      <w:r>
        <w:rPr>
          <w:rFonts w:ascii="宋体" w:hAnsi="宋体" w:hint="eastAsia"/>
          <w:kern w:val="0"/>
          <w:sz w:val="24"/>
        </w:rPr>
        <w:t>月在余姚根据第一轮试验数据进行发布并对结果进行讨论，初步确定本标准的试验方法，并制定第二轮试验方案，对试验过程参数进行优化并确认具体试验验证方案。</w:t>
      </w:r>
    </w:p>
    <w:p w:rsidR="00EE080D" w:rsidRDefault="00C04E08">
      <w:pPr>
        <w:spacing w:line="360" w:lineRule="auto"/>
        <w:ind w:firstLineChars="200" w:firstLine="480"/>
        <w:rPr>
          <w:rFonts w:ascii="宋体" w:hAnsi="宋体"/>
          <w:kern w:val="0"/>
          <w:sz w:val="24"/>
        </w:rPr>
      </w:pPr>
      <w:r>
        <w:rPr>
          <w:rFonts w:ascii="宋体" w:hAnsi="宋体" w:hint="eastAsia"/>
          <w:kern w:val="0"/>
          <w:sz w:val="24"/>
        </w:rPr>
        <w:t>2019</w:t>
      </w:r>
      <w:r>
        <w:rPr>
          <w:rFonts w:ascii="宋体" w:hAnsi="宋体" w:hint="eastAsia"/>
          <w:kern w:val="0"/>
          <w:sz w:val="24"/>
        </w:rPr>
        <w:t>年</w:t>
      </w:r>
      <w:r>
        <w:rPr>
          <w:rFonts w:ascii="宋体" w:hAnsi="宋体" w:hint="eastAsia"/>
          <w:kern w:val="0"/>
          <w:sz w:val="24"/>
        </w:rPr>
        <w:t>6</w:t>
      </w:r>
      <w:r>
        <w:rPr>
          <w:rFonts w:ascii="宋体" w:hAnsi="宋体" w:hint="eastAsia"/>
          <w:kern w:val="0"/>
          <w:sz w:val="24"/>
        </w:rPr>
        <w:t>月</w:t>
      </w:r>
      <w:r>
        <w:rPr>
          <w:rFonts w:ascii="宋体" w:hAnsi="宋体" w:hint="eastAsia"/>
          <w:kern w:val="0"/>
          <w:sz w:val="24"/>
        </w:rPr>
        <w:t>-7</w:t>
      </w:r>
      <w:r>
        <w:rPr>
          <w:rFonts w:ascii="宋体" w:hAnsi="宋体" w:hint="eastAsia"/>
          <w:kern w:val="0"/>
          <w:sz w:val="24"/>
        </w:rPr>
        <w:t>月完成第二轮试验样板制作。</w:t>
      </w:r>
    </w:p>
    <w:p w:rsidR="00EE080D" w:rsidRDefault="00C04E08">
      <w:pPr>
        <w:spacing w:line="360" w:lineRule="auto"/>
        <w:ind w:firstLineChars="200" w:firstLine="480"/>
        <w:rPr>
          <w:rFonts w:ascii="宋体" w:hAnsi="宋体"/>
          <w:kern w:val="0"/>
          <w:sz w:val="24"/>
        </w:rPr>
      </w:pPr>
      <w:r>
        <w:rPr>
          <w:rFonts w:ascii="宋体" w:hAnsi="宋体" w:hint="eastAsia"/>
          <w:kern w:val="0"/>
          <w:sz w:val="24"/>
        </w:rPr>
        <w:t>2019</w:t>
      </w:r>
      <w:r>
        <w:rPr>
          <w:rFonts w:ascii="宋体" w:hAnsi="宋体" w:hint="eastAsia"/>
          <w:kern w:val="0"/>
          <w:sz w:val="24"/>
        </w:rPr>
        <w:t>年</w:t>
      </w:r>
      <w:r>
        <w:rPr>
          <w:rFonts w:ascii="宋体" w:hAnsi="宋体" w:hint="eastAsia"/>
          <w:kern w:val="0"/>
          <w:sz w:val="24"/>
        </w:rPr>
        <w:t>8</w:t>
      </w:r>
      <w:r>
        <w:rPr>
          <w:rFonts w:ascii="宋体" w:hAnsi="宋体" w:hint="eastAsia"/>
          <w:kern w:val="0"/>
          <w:sz w:val="24"/>
        </w:rPr>
        <w:t>月进行试验准备并陆续开展各项试验。同时根据第一轮试验结论编制标准初稿。</w:t>
      </w:r>
    </w:p>
    <w:p w:rsidR="00EE080D" w:rsidRDefault="00C04E08">
      <w:pPr>
        <w:spacing w:line="360" w:lineRule="auto"/>
        <w:ind w:firstLineChars="200" w:firstLine="480"/>
        <w:rPr>
          <w:rFonts w:ascii="宋体" w:hAnsi="宋体"/>
          <w:kern w:val="0"/>
          <w:sz w:val="24"/>
        </w:rPr>
      </w:pPr>
      <w:r>
        <w:rPr>
          <w:rFonts w:ascii="宋体" w:hAnsi="宋体" w:hint="eastAsia"/>
          <w:kern w:val="0"/>
          <w:sz w:val="24"/>
        </w:rPr>
        <w:t>2</w:t>
      </w:r>
      <w:r>
        <w:rPr>
          <w:rFonts w:ascii="宋体" w:hAnsi="宋体"/>
          <w:kern w:val="0"/>
          <w:sz w:val="24"/>
        </w:rPr>
        <w:t>01</w:t>
      </w:r>
      <w:r>
        <w:rPr>
          <w:rFonts w:ascii="宋体" w:hAnsi="宋体" w:hint="eastAsia"/>
          <w:kern w:val="0"/>
          <w:sz w:val="24"/>
        </w:rPr>
        <w:t>9</w:t>
      </w:r>
      <w:r>
        <w:rPr>
          <w:rFonts w:ascii="宋体" w:hAnsi="宋体" w:hint="eastAsia"/>
          <w:kern w:val="0"/>
          <w:sz w:val="24"/>
        </w:rPr>
        <w:t>年</w:t>
      </w:r>
      <w:r>
        <w:rPr>
          <w:rFonts w:ascii="宋体" w:hAnsi="宋体" w:hint="eastAsia"/>
          <w:kern w:val="0"/>
          <w:sz w:val="24"/>
        </w:rPr>
        <w:t>9</w:t>
      </w:r>
      <w:r>
        <w:rPr>
          <w:rFonts w:ascii="宋体" w:hAnsi="宋体" w:hint="eastAsia"/>
          <w:kern w:val="0"/>
          <w:sz w:val="24"/>
        </w:rPr>
        <w:t>月</w:t>
      </w:r>
      <w:r>
        <w:rPr>
          <w:rFonts w:ascii="宋体" w:hAnsi="宋体"/>
          <w:kern w:val="0"/>
          <w:sz w:val="24"/>
        </w:rPr>
        <w:t>，</w:t>
      </w:r>
      <w:r>
        <w:rPr>
          <w:rFonts w:ascii="宋体" w:hAnsi="宋体" w:hint="eastAsia"/>
          <w:kern w:val="0"/>
          <w:sz w:val="24"/>
        </w:rPr>
        <w:t>召开征求意见稿评审会议。</w:t>
      </w:r>
    </w:p>
    <w:p w:rsidR="00EE080D" w:rsidRDefault="00C04E08">
      <w:pPr>
        <w:widowControl/>
        <w:spacing w:line="360" w:lineRule="auto"/>
        <w:ind w:firstLineChars="200" w:firstLine="480"/>
        <w:jc w:val="left"/>
        <w:rPr>
          <w:rFonts w:ascii="宋体" w:hAnsi="宋体"/>
          <w:kern w:val="0"/>
          <w:sz w:val="24"/>
        </w:rPr>
      </w:pPr>
      <w:r>
        <w:rPr>
          <w:rFonts w:ascii="宋体" w:hAnsi="宋体"/>
          <w:kern w:val="0"/>
          <w:sz w:val="24"/>
        </w:rPr>
        <w:t>201</w:t>
      </w:r>
      <w:r>
        <w:rPr>
          <w:rFonts w:ascii="宋体" w:hAnsi="宋体" w:hint="eastAsia"/>
          <w:kern w:val="0"/>
          <w:sz w:val="24"/>
        </w:rPr>
        <w:t>9</w:t>
      </w:r>
      <w:r>
        <w:rPr>
          <w:rFonts w:ascii="宋体" w:hAnsi="宋体"/>
          <w:kern w:val="0"/>
          <w:sz w:val="24"/>
        </w:rPr>
        <w:t>年</w:t>
      </w:r>
      <w:r>
        <w:rPr>
          <w:rFonts w:ascii="宋体" w:hAnsi="宋体"/>
          <w:kern w:val="0"/>
          <w:sz w:val="24"/>
        </w:rPr>
        <w:t>1</w:t>
      </w:r>
      <w:r>
        <w:rPr>
          <w:rFonts w:ascii="宋体" w:hAnsi="宋体" w:hint="eastAsia"/>
          <w:kern w:val="0"/>
          <w:sz w:val="24"/>
        </w:rPr>
        <w:t>0</w:t>
      </w:r>
      <w:r>
        <w:rPr>
          <w:rFonts w:ascii="宋体" w:hAnsi="宋体"/>
          <w:kern w:val="0"/>
          <w:sz w:val="24"/>
        </w:rPr>
        <w:t>月，形成征求意见稿并公开征求意见，起草组根据反馈意见进行修改后形成标准送审稿。</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2019</w:t>
      </w:r>
      <w:r>
        <w:rPr>
          <w:rFonts w:ascii="宋体" w:hAnsi="宋体" w:hint="eastAsia"/>
          <w:kern w:val="0"/>
          <w:sz w:val="24"/>
        </w:rPr>
        <w:t>年</w:t>
      </w:r>
      <w:r>
        <w:rPr>
          <w:rFonts w:ascii="宋体" w:hAnsi="宋体" w:hint="eastAsia"/>
          <w:kern w:val="0"/>
          <w:sz w:val="24"/>
        </w:rPr>
        <w:t>12</w:t>
      </w:r>
      <w:r>
        <w:rPr>
          <w:rFonts w:ascii="宋体" w:hAnsi="宋体" w:hint="eastAsia"/>
          <w:kern w:val="0"/>
          <w:sz w:val="24"/>
        </w:rPr>
        <w:t>月，完成标准终评工作并提交发布版标准。</w:t>
      </w:r>
    </w:p>
    <w:p w:rsidR="00EE080D" w:rsidRDefault="00EE080D">
      <w:pPr>
        <w:widowControl/>
        <w:spacing w:line="360" w:lineRule="auto"/>
        <w:jc w:val="left"/>
        <w:rPr>
          <w:rFonts w:ascii="宋体" w:hAnsi="宋体"/>
          <w:kern w:val="0"/>
          <w:sz w:val="24"/>
        </w:rPr>
      </w:pPr>
    </w:p>
    <w:p w:rsidR="00EE080D" w:rsidRDefault="00C04E08">
      <w:pPr>
        <w:spacing w:line="360" w:lineRule="auto"/>
        <w:rPr>
          <w:rFonts w:ascii="宋体" w:hAnsi="宋体"/>
          <w:b/>
          <w:szCs w:val="21"/>
        </w:rPr>
      </w:pPr>
      <w:r>
        <w:rPr>
          <w:rFonts w:ascii="宋体" w:hAnsi="宋体"/>
          <w:b/>
          <w:szCs w:val="21"/>
        </w:rPr>
        <w:lastRenderedPageBreak/>
        <w:t>二、标准编制原则</w:t>
      </w:r>
      <w:r>
        <w:rPr>
          <w:rFonts w:ascii="宋体" w:hAnsi="宋体" w:hint="eastAsia"/>
          <w:b/>
          <w:szCs w:val="21"/>
        </w:rPr>
        <w:t>和主要内容</w:t>
      </w:r>
    </w:p>
    <w:p w:rsidR="00EE080D" w:rsidRDefault="00C04E08">
      <w:pPr>
        <w:widowControl/>
        <w:spacing w:line="360" w:lineRule="auto"/>
        <w:ind w:firstLineChars="200" w:firstLine="480"/>
        <w:rPr>
          <w:rFonts w:ascii="宋体" w:hAnsi="宋体"/>
          <w:kern w:val="0"/>
          <w:sz w:val="24"/>
        </w:rPr>
      </w:pPr>
      <w:r>
        <w:rPr>
          <w:rFonts w:ascii="宋体" w:hAnsi="宋体" w:hint="eastAsia"/>
          <w:kern w:val="0"/>
          <w:sz w:val="24"/>
        </w:rPr>
        <w:t>2.1</w:t>
      </w:r>
      <w:r>
        <w:rPr>
          <w:rFonts w:ascii="宋体" w:hAnsi="宋体" w:hint="eastAsia"/>
          <w:kern w:val="0"/>
          <w:sz w:val="24"/>
        </w:rPr>
        <w:t>标准制定原则</w:t>
      </w:r>
    </w:p>
    <w:p w:rsidR="00EE080D" w:rsidRDefault="00C04E08">
      <w:pPr>
        <w:widowControl/>
        <w:spacing w:line="360" w:lineRule="auto"/>
        <w:ind w:firstLineChars="200" w:firstLine="480"/>
        <w:rPr>
          <w:rFonts w:ascii="宋体" w:hAnsi="宋体"/>
          <w:kern w:val="0"/>
          <w:sz w:val="24"/>
        </w:rPr>
      </w:pPr>
      <w:r>
        <w:rPr>
          <w:rFonts w:ascii="宋体" w:hAnsi="宋体" w:hint="eastAsia"/>
          <w:kern w:val="0"/>
          <w:sz w:val="24"/>
        </w:rPr>
        <w:t>在充分比较学习了国内外关于铝合金材料的耐腐蚀性试验方法的基础上，以及前期开展的铝合金板材中性盐雾及中性循环交变试验结果，初步得出车身铝合金板材腐蚀试验方法目前较多使用的是在酸性条件下的加速试验方法。</w:t>
      </w:r>
    </w:p>
    <w:p w:rsidR="00EE080D" w:rsidRDefault="00C04E08">
      <w:pPr>
        <w:widowControl/>
        <w:spacing w:line="360" w:lineRule="auto"/>
        <w:ind w:firstLineChars="200" w:firstLine="480"/>
        <w:rPr>
          <w:rFonts w:ascii="宋体" w:hAnsi="宋体"/>
          <w:kern w:val="0"/>
          <w:sz w:val="24"/>
        </w:rPr>
      </w:pPr>
      <w:r>
        <w:rPr>
          <w:rFonts w:ascii="宋体" w:hAnsi="宋体" w:hint="eastAsia"/>
          <w:kern w:val="0"/>
          <w:sz w:val="24"/>
        </w:rPr>
        <w:t>因此本标准考虑铝合金板材腐蚀属性的情况下，选取几种酸性条件下的腐蚀环境，通过增加循环交变的条件、加速腐蚀速率等方式开展实验室加速试验验证工作。通过实验室的加速腐蚀试验结果和户外海南整车道路强化腐蚀试验结果，从</w:t>
      </w:r>
      <w:r>
        <w:rPr>
          <w:rFonts w:ascii="宋体" w:hAnsi="宋体" w:hint="eastAsia"/>
          <w:kern w:val="0"/>
          <w:sz w:val="24"/>
        </w:rPr>
        <w:t>腐蚀量、腐蚀形态等方面进行对比，得出最优的加速腐蚀试验方法。根据试验结果编制实验室加速腐蚀试验方法。</w:t>
      </w:r>
    </w:p>
    <w:p w:rsidR="00EE080D" w:rsidRDefault="00C04E08">
      <w:pPr>
        <w:widowControl/>
        <w:spacing w:line="360" w:lineRule="auto"/>
        <w:ind w:firstLineChars="200" w:firstLine="480"/>
        <w:rPr>
          <w:rFonts w:ascii="宋体" w:hAnsi="宋体"/>
          <w:kern w:val="0"/>
          <w:sz w:val="24"/>
        </w:rPr>
      </w:pPr>
      <w:r>
        <w:rPr>
          <w:rFonts w:ascii="宋体" w:hAnsi="宋体" w:hint="eastAsia"/>
          <w:kern w:val="0"/>
          <w:sz w:val="24"/>
        </w:rPr>
        <w:t>本标准的制定充分考虑</w:t>
      </w:r>
      <w:r>
        <w:rPr>
          <w:rFonts w:ascii="宋体" w:hAnsi="宋体" w:hint="eastAsia"/>
          <w:kern w:val="0"/>
          <w:sz w:val="24"/>
        </w:rPr>
        <w:t>汽车行业铝合金车身的</w:t>
      </w:r>
      <w:r>
        <w:rPr>
          <w:rFonts w:ascii="宋体" w:hAnsi="宋体" w:hint="eastAsia"/>
          <w:kern w:val="0"/>
          <w:sz w:val="24"/>
        </w:rPr>
        <w:t>发展，确保标准的科学性、先进性、</w:t>
      </w:r>
      <w:r>
        <w:rPr>
          <w:rFonts w:ascii="宋体" w:hAnsi="宋体" w:hint="eastAsia"/>
          <w:kern w:val="0"/>
          <w:sz w:val="24"/>
        </w:rPr>
        <w:t>严谨性、</w:t>
      </w:r>
      <w:r>
        <w:rPr>
          <w:rFonts w:ascii="宋体" w:hAnsi="宋体" w:hint="eastAsia"/>
          <w:kern w:val="0"/>
          <w:sz w:val="24"/>
        </w:rPr>
        <w:t>可操作性，以促进</w:t>
      </w:r>
      <w:r>
        <w:rPr>
          <w:rFonts w:ascii="宋体" w:hAnsi="宋体" w:hint="eastAsia"/>
          <w:kern w:val="0"/>
          <w:sz w:val="24"/>
        </w:rPr>
        <w:t>汽车车身铝合金板材复合</w:t>
      </w:r>
      <w:r>
        <w:rPr>
          <w:rFonts w:ascii="宋体" w:hAnsi="宋体" w:hint="eastAsia"/>
          <w:kern w:val="0"/>
          <w:sz w:val="24"/>
        </w:rPr>
        <w:t>涂层</w:t>
      </w:r>
      <w:r>
        <w:rPr>
          <w:rFonts w:ascii="宋体" w:hAnsi="宋体" w:hint="eastAsia"/>
          <w:kern w:val="0"/>
          <w:sz w:val="24"/>
        </w:rPr>
        <w:t>防护技术</w:t>
      </w:r>
      <w:r>
        <w:rPr>
          <w:rFonts w:ascii="宋体" w:hAnsi="宋体" w:hint="eastAsia"/>
          <w:kern w:val="0"/>
          <w:sz w:val="24"/>
        </w:rPr>
        <w:t>的发展</w:t>
      </w:r>
      <w:r>
        <w:rPr>
          <w:rFonts w:ascii="宋体" w:hAnsi="宋体" w:hint="eastAsia"/>
          <w:kern w:val="0"/>
          <w:sz w:val="24"/>
        </w:rPr>
        <w:t>。</w:t>
      </w:r>
    </w:p>
    <w:p w:rsidR="00EE080D" w:rsidRDefault="00C04E08">
      <w:pPr>
        <w:widowControl/>
        <w:spacing w:line="360" w:lineRule="auto"/>
        <w:ind w:firstLineChars="200" w:firstLine="480"/>
        <w:rPr>
          <w:rFonts w:ascii="宋体" w:hAnsi="宋体"/>
          <w:kern w:val="0"/>
          <w:sz w:val="24"/>
        </w:rPr>
      </w:pPr>
      <w:r>
        <w:rPr>
          <w:rFonts w:ascii="宋体" w:hAnsi="宋体" w:hint="eastAsia"/>
          <w:kern w:val="0"/>
          <w:sz w:val="24"/>
        </w:rPr>
        <w:t>2.1.1</w:t>
      </w:r>
      <w:r>
        <w:rPr>
          <w:rFonts w:ascii="宋体" w:hAnsi="宋体" w:hint="eastAsia"/>
          <w:kern w:val="0"/>
          <w:sz w:val="24"/>
        </w:rPr>
        <w:t>通用性原则</w:t>
      </w:r>
    </w:p>
    <w:p w:rsidR="00EE080D" w:rsidRDefault="00C04E08">
      <w:pPr>
        <w:widowControl/>
        <w:spacing w:line="360" w:lineRule="auto"/>
        <w:ind w:firstLineChars="200" w:firstLine="480"/>
        <w:rPr>
          <w:rFonts w:ascii="宋体" w:hAnsi="宋体"/>
          <w:kern w:val="0"/>
          <w:sz w:val="24"/>
        </w:rPr>
      </w:pPr>
      <w:r>
        <w:rPr>
          <w:rFonts w:ascii="宋体" w:hAnsi="宋体" w:hint="eastAsia"/>
          <w:kern w:val="0"/>
          <w:sz w:val="24"/>
        </w:rPr>
        <w:t>本标准提出的</w:t>
      </w:r>
      <w:r>
        <w:rPr>
          <w:rFonts w:ascii="宋体" w:hAnsi="宋体" w:hint="eastAsia"/>
          <w:kern w:val="0"/>
          <w:sz w:val="24"/>
        </w:rPr>
        <w:t>汽车车身铝合金板材复合涂层加速腐蚀试验方法</w:t>
      </w:r>
      <w:r>
        <w:rPr>
          <w:rFonts w:ascii="宋体" w:hAnsi="宋体" w:hint="eastAsia"/>
          <w:kern w:val="0"/>
          <w:sz w:val="24"/>
        </w:rPr>
        <w:t>，其他类型</w:t>
      </w:r>
      <w:r>
        <w:rPr>
          <w:rFonts w:ascii="宋体" w:hAnsi="宋体" w:hint="eastAsia"/>
          <w:kern w:val="0"/>
          <w:sz w:val="24"/>
        </w:rPr>
        <w:t>的</w:t>
      </w:r>
      <w:r>
        <w:rPr>
          <w:rFonts w:ascii="宋体" w:hAnsi="宋体" w:hint="eastAsia"/>
          <w:kern w:val="0"/>
          <w:sz w:val="24"/>
        </w:rPr>
        <w:t>汽车</w:t>
      </w:r>
      <w:r>
        <w:rPr>
          <w:rFonts w:ascii="宋体" w:hAnsi="宋体" w:hint="eastAsia"/>
          <w:kern w:val="0"/>
          <w:sz w:val="24"/>
        </w:rPr>
        <w:t>铝合金材料复合</w:t>
      </w:r>
      <w:r>
        <w:rPr>
          <w:rFonts w:ascii="宋体" w:hAnsi="宋体" w:hint="eastAsia"/>
          <w:kern w:val="0"/>
          <w:sz w:val="24"/>
        </w:rPr>
        <w:t>涂层可参照执行。</w:t>
      </w:r>
    </w:p>
    <w:p w:rsidR="00EE080D" w:rsidRDefault="00C04E08">
      <w:pPr>
        <w:widowControl/>
        <w:spacing w:line="360" w:lineRule="auto"/>
        <w:ind w:firstLineChars="200" w:firstLine="480"/>
        <w:rPr>
          <w:rFonts w:ascii="宋体" w:hAnsi="宋体"/>
          <w:kern w:val="0"/>
          <w:sz w:val="24"/>
        </w:rPr>
      </w:pPr>
      <w:r>
        <w:rPr>
          <w:rFonts w:ascii="宋体" w:hAnsi="宋体" w:hint="eastAsia"/>
          <w:kern w:val="0"/>
          <w:sz w:val="24"/>
        </w:rPr>
        <w:t>2.1.2</w:t>
      </w:r>
      <w:r>
        <w:rPr>
          <w:rFonts w:ascii="宋体" w:hAnsi="宋体" w:hint="eastAsia"/>
          <w:kern w:val="0"/>
          <w:sz w:val="24"/>
        </w:rPr>
        <w:t>指导性原则</w:t>
      </w:r>
    </w:p>
    <w:p w:rsidR="00EE080D" w:rsidRDefault="00C04E08">
      <w:pPr>
        <w:widowControl/>
        <w:spacing w:line="360" w:lineRule="auto"/>
        <w:ind w:firstLineChars="200" w:firstLine="480"/>
        <w:rPr>
          <w:rFonts w:ascii="宋体" w:hAnsi="宋体"/>
          <w:kern w:val="0"/>
          <w:sz w:val="24"/>
        </w:rPr>
      </w:pPr>
      <w:r>
        <w:rPr>
          <w:rFonts w:ascii="宋体" w:hAnsi="宋体" w:hint="eastAsia"/>
          <w:kern w:val="0"/>
          <w:sz w:val="24"/>
        </w:rPr>
        <w:t>本标准提出的方法</w:t>
      </w:r>
      <w:r>
        <w:rPr>
          <w:rFonts w:ascii="宋体" w:hAnsi="宋体" w:hint="eastAsia"/>
          <w:kern w:val="0"/>
          <w:sz w:val="24"/>
        </w:rPr>
        <w:t>能指导汽车</w:t>
      </w:r>
      <w:r>
        <w:rPr>
          <w:rFonts w:ascii="宋体" w:hAnsi="宋体" w:hint="eastAsia"/>
          <w:kern w:val="0"/>
          <w:sz w:val="24"/>
        </w:rPr>
        <w:t>OEM</w:t>
      </w:r>
      <w:r>
        <w:rPr>
          <w:rFonts w:ascii="宋体" w:hAnsi="宋体" w:hint="eastAsia"/>
          <w:kern w:val="0"/>
          <w:sz w:val="24"/>
        </w:rPr>
        <w:t>开展</w:t>
      </w:r>
      <w:r>
        <w:rPr>
          <w:rFonts w:ascii="宋体" w:hAnsi="宋体" w:hint="eastAsia"/>
          <w:kern w:val="0"/>
          <w:sz w:val="24"/>
        </w:rPr>
        <w:t>汽车铝合金板材复合涂层的耐腐蚀性能测试工作，并为含铝车身的涂装工艺过程质量控制及材料选型验证等</w:t>
      </w:r>
      <w:r>
        <w:rPr>
          <w:rFonts w:ascii="宋体" w:hAnsi="宋体" w:hint="eastAsia"/>
          <w:kern w:val="0"/>
          <w:sz w:val="24"/>
        </w:rPr>
        <w:t>提供指导作用。</w:t>
      </w:r>
    </w:p>
    <w:p w:rsidR="00EE080D" w:rsidRDefault="00C04E08">
      <w:pPr>
        <w:widowControl/>
        <w:spacing w:line="360" w:lineRule="auto"/>
        <w:ind w:firstLineChars="200" w:firstLine="480"/>
        <w:rPr>
          <w:rFonts w:ascii="宋体" w:hAnsi="宋体"/>
          <w:kern w:val="0"/>
          <w:sz w:val="24"/>
        </w:rPr>
      </w:pPr>
      <w:r>
        <w:rPr>
          <w:rFonts w:ascii="宋体" w:hAnsi="宋体" w:hint="eastAsia"/>
          <w:kern w:val="0"/>
          <w:sz w:val="24"/>
        </w:rPr>
        <w:t>2.1.3</w:t>
      </w:r>
      <w:r>
        <w:rPr>
          <w:rFonts w:ascii="宋体" w:hAnsi="宋体" w:hint="eastAsia"/>
          <w:kern w:val="0"/>
          <w:sz w:val="24"/>
        </w:rPr>
        <w:t>协调性原则</w:t>
      </w:r>
    </w:p>
    <w:p w:rsidR="00EE080D" w:rsidRDefault="00C04E08">
      <w:pPr>
        <w:widowControl/>
        <w:spacing w:line="360" w:lineRule="auto"/>
        <w:ind w:firstLineChars="200" w:firstLine="480"/>
        <w:rPr>
          <w:rFonts w:ascii="宋体" w:hAnsi="宋体"/>
          <w:kern w:val="0"/>
          <w:sz w:val="24"/>
        </w:rPr>
      </w:pPr>
      <w:r>
        <w:rPr>
          <w:rFonts w:ascii="宋体" w:hAnsi="宋体" w:hint="eastAsia"/>
          <w:kern w:val="0"/>
          <w:sz w:val="24"/>
        </w:rPr>
        <w:t>本技术规范以中国典型气候试验场为腐蚀环境，参考国外车企相近标准制定铝合金涂层腐蚀试验及评价方法。部分内容与外资车企标准相同或技术上相同，但在其他内容上却互不包括对方的内容。</w:t>
      </w:r>
    </w:p>
    <w:p w:rsidR="00EE080D" w:rsidRDefault="00C04E08">
      <w:pPr>
        <w:widowControl/>
        <w:spacing w:line="360" w:lineRule="auto"/>
        <w:ind w:firstLineChars="200" w:firstLine="480"/>
        <w:rPr>
          <w:rFonts w:ascii="宋体" w:hAnsi="宋体"/>
          <w:kern w:val="0"/>
          <w:sz w:val="24"/>
        </w:rPr>
      </w:pPr>
      <w:r>
        <w:rPr>
          <w:rFonts w:ascii="宋体" w:hAnsi="宋体" w:hint="eastAsia"/>
          <w:kern w:val="0"/>
          <w:sz w:val="24"/>
        </w:rPr>
        <w:t>2.1.4</w:t>
      </w:r>
      <w:r>
        <w:rPr>
          <w:rFonts w:ascii="宋体" w:hAnsi="宋体" w:hint="eastAsia"/>
          <w:kern w:val="0"/>
          <w:sz w:val="24"/>
        </w:rPr>
        <w:t>兼容性原则</w:t>
      </w:r>
    </w:p>
    <w:p w:rsidR="00EE080D" w:rsidRDefault="00C04E08">
      <w:pPr>
        <w:widowControl/>
        <w:spacing w:line="360" w:lineRule="auto"/>
        <w:ind w:firstLineChars="200" w:firstLine="480"/>
        <w:rPr>
          <w:rFonts w:ascii="宋体" w:hAnsi="宋体"/>
          <w:kern w:val="0"/>
          <w:sz w:val="24"/>
        </w:rPr>
      </w:pPr>
      <w:r>
        <w:rPr>
          <w:rFonts w:ascii="宋体" w:hAnsi="宋体" w:hint="eastAsia"/>
          <w:kern w:val="0"/>
          <w:sz w:val="24"/>
        </w:rPr>
        <w:t>本标准提出的</w:t>
      </w:r>
      <w:r>
        <w:rPr>
          <w:rFonts w:ascii="宋体" w:hAnsi="宋体" w:hint="eastAsia"/>
          <w:kern w:val="0"/>
          <w:sz w:val="24"/>
        </w:rPr>
        <w:t>汽车车身铝合金板材复合涂层加速腐蚀试验方法</w:t>
      </w:r>
      <w:r>
        <w:rPr>
          <w:rFonts w:ascii="宋体" w:hAnsi="宋体" w:hint="eastAsia"/>
          <w:kern w:val="0"/>
          <w:sz w:val="24"/>
        </w:rPr>
        <w:t>充分考虑了</w:t>
      </w:r>
      <w:r>
        <w:rPr>
          <w:rFonts w:ascii="宋体" w:hAnsi="宋体" w:hint="eastAsia"/>
          <w:kern w:val="0"/>
          <w:sz w:val="24"/>
        </w:rPr>
        <w:t>汽车铝合金车身</w:t>
      </w:r>
      <w:r>
        <w:rPr>
          <w:rFonts w:ascii="宋体" w:hAnsi="宋体"/>
          <w:kern w:val="0"/>
          <w:sz w:val="24"/>
        </w:rPr>
        <w:t>的涂层防腐蚀性能</w:t>
      </w:r>
      <w:r>
        <w:rPr>
          <w:rFonts w:ascii="宋体" w:hAnsi="宋体" w:hint="eastAsia"/>
          <w:kern w:val="0"/>
          <w:sz w:val="24"/>
        </w:rPr>
        <w:t>，具有普遍适用性。</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 xml:space="preserve">2.2 </w:t>
      </w:r>
      <w:r>
        <w:rPr>
          <w:rFonts w:ascii="宋体" w:hAnsi="宋体" w:hint="eastAsia"/>
          <w:kern w:val="0"/>
          <w:sz w:val="24"/>
        </w:rPr>
        <w:t>标准主要技术内容</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本标准共分为</w:t>
      </w:r>
      <w:r>
        <w:rPr>
          <w:rFonts w:ascii="宋体" w:hAnsi="宋体" w:hint="eastAsia"/>
          <w:kern w:val="0"/>
          <w:sz w:val="24"/>
        </w:rPr>
        <w:t>9</w:t>
      </w:r>
      <w:r>
        <w:rPr>
          <w:rFonts w:ascii="宋体" w:hAnsi="宋体" w:hint="eastAsia"/>
          <w:kern w:val="0"/>
          <w:sz w:val="24"/>
        </w:rPr>
        <w:t>章，规定</w:t>
      </w:r>
      <w:r>
        <w:rPr>
          <w:rFonts w:ascii="宋体" w:hAnsi="宋体" w:hint="eastAsia"/>
          <w:kern w:val="0"/>
          <w:sz w:val="24"/>
        </w:rPr>
        <w:t>了汽车车身铝合金板材加</w:t>
      </w:r>
      <w:r>
        <w:rPr>
          <w:rFonts w:ascii="宋体" w:hAnsi="宋体" w:hint="eastAsia"/>
          <w:kern w:val="0"/>
          <w:sz w:val="24"/>
        </w:rPr>
        <w:t>速腐蚀试验的试验步骤、试验周期以及结果评价等</w:t>
      </w:r>
      <w:r>
        <w:rPr>
          <w:rFonts w:ascii="宋体" w:hAnsi="宋体" w:hint="eastAsia"/>
          <w:kern w:val="0"/>
          <w:sz w:val="24"/>
        </w:rPr>
        <w:t>。内容包括范围、规范性引用文件、术语和定义</w:t>
      </w:r>
      <w:r>
        <w:rPr>
          <w:rFonts w:ascii="宋体" w:hAnsi="宋体"/>
          <w:kern w:val="0"/>
          <w:sz w:val="24"/>
        </w:rPr>
        <w:t>、</w:t>
      </w:r>
      <w:r>
        <w:rPr>
          <w:rFonts w:ascii="宋体" w:hAnsi="宋体" w:hint="eastAsia"/>
          <w:kern w:val="0"/>
          <w:sz w:val="24"/>
        </w:rPr>
        <w:t>试验溶液</w:t>
      </w:r>
      <w:r>
        <w:rPr>
          <w:rFonts w:ascii="宋体" w:hAnsi="宋体"/>
          <w:kern w:val="0"/>
          <w:sz w:val="24"/>
        </w:rPr>
        <w:t>、</w:t>
      </w:r>
      <w:r>
        <w:rPr>
          <w:rFonts w:ascii="宋体" w:hAnsi="宋体" w:hint="eastAsia"/>
          <w:kern w:val="0"/>
          <w:sz w:val="24"/>
        </w:rPr>
        <w:t>试验设备</w:t>
      </w:r>
      <w:r>
        <w:rPr>
          <w:rFonts w:ascii="宋体" w:hAnsi="宋体"/>
          <w:kern w:val="0"/>
          <w:sz w:val="24"/>
        </w:rPr>
        <w:t>、</w:t>
      </w:r>
      <w:r>
        <w:rPr>
          <w:rFonts w:ascii="宋体" w:hAnsi="宋体" w:hint="eastAsia"/>
          <w:kern w:val="0"/>
          <w:sz w:val="24"/>
        </w:rPr>
        <w:t>试验步骤、试验周期、结果评价、试验报告等，提供资料性附录，明确试验方法中的试验划痕工作及结果评价等内容。</w:t>
      </w:r>
    </w:p>
    <w:p w:rsidR="00EE080D" w:rsidRDefault="00C04E08">
      <w:pPr>
        <w:widowControl/>
        <w:spacing w:line="360" w:lineRule="auto"/>
        <w:ind w:firstLineChars="200" w:firstLine="480"/>
        <w:jc w:val="left"/>
        <w:rPr>
          <w:rFonts w:ascii="宋体" w:hAnsi="宋体"/>
          <w:kern w:val="0"/>
          <w:sz w:val="24"/>
        </w:rPr>
      </w:pPr>
      <w:r>
        <w:rPr>
          <w:rStyle w:val="ad"/>
          <w:rFonts w:ascii="宋体" w:hAnsi="宋体" w:hint="eastAsia"/>
          <w:sz w:val="24"/>
          <w:szCs w:val="24"/>
        </w:rPr>
        <w:lastRenderedPageBreak/>
        <w:t>2.3</w:t>
      </w:r>
      <w:r>
        <w:rPr>
          <w:rFonts w:ascii="宋体" w:hAnsi="宋体" w:hint="eastAsia"/>
          <w:kern w:val="0"/>
          <w:sz w:val="24"/>
        </w:rPr>
        <w:t>关键技术问题说明</w:t>
      </w:r>
    </w:p>
    <w:p w:rsidR="00EE080D" w:rsidRDefault="00C04E08">
      <w:pPr>
        <w:spacing w:line="360" w:lineRule="auto"/>
        <w:ind w:firstLineChars="200" w:firstLine="480"/>
        <w:rPr>
          <w:rFonts w:ascii="宋体" w:hAnsi="宋体"/>
          <w:kern w:val="0"/>
          <w:sz w:val="24"/>
        </w:rPr>
      </w:pPr>
      <w:r>
        <w:rPr>
          <w:rFonts w:ascii="宋体" w:hAnsi="宋体" w:hint="eastAsia"/>
          <w:kern w:val="0"/>
          <w:sz w:val="24"/>
        </w:rPr>
        <w:t>本标准提出的</w:t>
      </w:r>
      <w:r>
        <w:rPr>
          <w:rFonts w:ascii="宋体" w:hAnsi="宋体" w:hint="eastAsia"/>
          <w:kern w:val="0"/>
          <w:sz w:val="24"/>
        </w:rPr>
        <w:t>汽车车身铝合金板材加速腐蚀试验方法</w:t>
      </w:r>
      <w:r>
        <w:rPr>
          <w:rFonts w:ascii="宋体" w:hAnsi="宋体" w:hint="eastAsia"/>
          <w:kern w:val="0"/>
          <w:sz w:val="24"/>
        </w:rPr>
        <w:t>主要</w:t>
      </w:r>
      <w:r>
        <w:rPr>
          <w:rFonts w:ascii="宋体" w:hAnsi="宋体" w:hint="eastAsia"/>
          <w:kern w:val="0"/>
          <w:sz w:val="24"/>
        </w:rPr>
        <w:t>规范了试验条件和试验步骤，并规范了试验结果评价方法。</w:t>
      </w:r>
      <w:r>
        <w:rPr>
          <w:rFonts w:ascii="宋体" w:hAnsi="宋体" w:hint="eastAsia"/>
          <w:kern w:val="0"/>
          <w:sz w:val="24"/>
        </w:rPr>
        <w:t>通过</w:t>
      </w:r>
      <w:r>
        <w:rPr>
          <w:rFonts w:ascii="宋体" w:hAnsi="宋体" w:hint="eastAsia"/>
          <w:kern w:val="0"/>
          <w:sz w:val="24"/>
        </w:rPr>
        <w:t>各种加速腐蚀试验方法的对比总结出了与户外整车道路强化腐蚀试验最接近的实验舱加速腐蚀试验方法，</w:t>
      </w:r>
      <w:r>
        <w:rPr>
          <w:rFonts w:ascii="宋体" w:hAnsi="宋体"/>
          <w:kern w:val="0"/>
          <w:sz w:val="24"/>
        </w:rPr>
        <w:t>本标准提出的</w:t>
      </w:r>
      <w:r>
        <w:rPr>
          <w:rFonts w:ascii="宋体" w:hAnsi="宋体" w:hint="eastAsia"/>
          <w:kern w:val="0"/>
          <w:sz w:val="24"/>
        </w:rPr>
        <w:t>试验方法和评价方法</w:t>
      </w:r>
      <w:r>
        <w:rPr>
          <w:rFonts w:ascii="宋体" w:hAnsi="宋体"/>
          <w:kern w:val="0"/>
          <w:sz w:val="24"/>
        </w:rPr>
        <w:t>合理</w:t>
      </w:r>
      <w:r>
        <w:rPr>
          <w:rFonts w:ascii="宋体" w:hAnsi="宋体" w:hint="eastAsia"/>
          <w:kern w:val="0"/>
          <w:sz w:val="24"/>
        </w:rPr>
        <w:t>，</w:t>
      </w:r>
      <w:r>
        <w:rPr>
          <w:rFonts w:ascii="宋体" w:hAnsi="宋体" w:hint="eastAsia"/>
          <w:kern w:val="0"/>
          <w:sz w:val="24"/>
        </w:rPr>
        <w:t>具有</w:t>
      </w:r>
      <w:r>
        <w:rPr>
          <w:rFonts w:ascii="宋体" w:hAnsi="宋体"/>
          <w:kern w:val="0"/>
          <w:sz w:val="24"/>
        </w:rPr>
        <w:t>科学性和</w:t>
      </w:r>
      <w:r>
        <w:rPr>
          <w:rFonts w:ascii="宋体" w:hAnsi="宋体" w:hint="eastAsia"/>
          <w:kern w:val="0"/>
          <w:sz w:val="24"/>
        </w:rPr>
        <w:t>较好</w:t>
      </w:r>
      <w:r>
        <w:rPr>
          <w:rFonts w:ascii="宋体" w:hAnsi="宋体"/>
          <w:kern w:val="0"/>
          <w:sz w:val="24"/>
        </w:rPr>
        <w:t>的适用性。</w:t>
      </w:r>
    </w:p>
    <w:p w:rsidR="00EE080D" w:rsidRDefault="00EE080D">
      <w:pPr>
        <w:widowControl/>
        <w:spacing w:line="360" w:lineRule="auto"/>
        <w:ind w:firstLineChars="200" w:firstLine="480"/>
        <w:jc w:val="left"/>
        <w:rPr>
          <w:rFonts w:ascii="宋体" w:hAnsi="宋体"/>
          <w:kern w:val="0"/>
          <w:sz w:val="24"/>
        </w:rPr>
      </w:pP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2.4</w:t>
      </w:r>
      <w:r>
        <w:rPr>
          <w:rFonts w:ascii="宋体" w:hAnsi="宋体" w:hint="eastAsia"/>
          <w:kern w:val="0"/>
          <w:sz w:val="24"/>
        </w:rPr>
        <w:t>标准</w:t>
      </w:r>
      <w:r>
        <w:rPr>
          <w:rFonts w:ascii="宋体" w:hAnsi="宋体" w:hint="eastAsia"/>
          <w:kern w:val="0"/>
          <w:sz w:val="24"/>
        </w:rPr>
        <w:t>主要内容的论据</w:t>
      </w:r>
    </w:p>
    <w:tbl>
      <w:tblPr>
        <w:tblStyle w:val="ae"/>
        <w:tblpPr w:leftFromText="180" w:rightFromText="180" w:vertAnchor="text" w:horzAnchor="page" w:tblpX="2017" w:tblpY="3141"/>
        <w:tblOverlap w:val="never"/>
        <w:tblW w:w="8950" w:type="dxa"/>
        <w:tblLayout w:type="fixed"/>
        <w:tblLook w:val="04A0" w:firstRow="1" w:lastRow="0" w:firstColumn="1" w:lastColumn="0" w:noHBand="0" w:noVBand="1"/>
      </w:tblPr>
      <w:tblGrid>
        <w:gridCol w:w="1451"/>
        <w:gridCol w:w="2630"/>
        <w:gridCol w:w="4869"/>
      </w:tblGrid>
      <w:tr w:rsidR="00EE080D">
        <w:trPr>
          <w:trHeight w:val="658"/>
        </w:trPr>
        <w:tc>
          <w:tcPr>
            <w:tcW w:w="8950" w:type="dxa"/>
            <w:gridSpan w:val="3"/>
            <w:vAlign w:val="center"/>
          </w:tcPr>
          <w:p w:rsidR="00EE080D" w:rsidRDefault="00C04E08">
            <w:pPr>
              <w:jc w:val="center"/>
            </w:pPr>
            <w:r>
              <w:rPr>
                <w:rFonts w:ascii="宋体" w:hAnsi="宋体" w:hint="eastAsia"/>
                <w:kern w:val="0"/>
                <w:sz w:val="24"/>
              </w:rPr>
              <w:t>表</w:t>
            </w:r>
            <w:r>
              <w:rPr>
                <w:rFonts w:ascii="宋体" w:hAnsi="宋体" w:hint="eastAsia"/>
                <w:kern w:val="0"/>
                <w:sz w:val="24"/>
              </w:rPr>
              <w:t>1</w:t>
            </w:r>
            <w:r>
              <w:rPr>
                <w:rFonts w:ascii="宋体" w:hAnsi="宋体" w:hint="eastAsia"/>
                <w:kern w:val="0"/>
                <w:sz w:val="24"/>
              </w:rPr>
              <w:t xml:space="preserve"> </w:t>
            </w:r>
            <w:r>
              <w:rPr>
                <w:rFonts w:ascii="宋体" w:hAnsi="宋体" w:hint="eastAsia"/>
                <w:kern w:val="0"/>
                <w:sz w:val="24"/>
              </w:rPr>
              <w:t>国内外铝合金涂层耐腐蚀性试验方法</w:t>
            </w:r>
          </w:p>
        </w:tc>
      </w:tr>
      <w:tr w:rsidR="00EE080D">
        <w:trPr>
          <w:trHeight w:val="558"/>
        </w:trPr>
        <w:tc>
          <w:tcPr>
            <w:tcW w:w="1451" w:type="dxa"/>
            <w:vMerge w:val="restart"/>
            <w:vAlign w:val="center"/>
          </w:tcPr>
          <w:p w:rsidR="00EE080D" w:rsidRDefault="00C04E08">
            <w:pPr>
              <w:jc w:val="center"/>
            </w:pPr>
            <w:r>
              <w:rPr>
                <w:rFonts w:hint="eastAsia"/>
              </w:rPr>
              <w:t>分类</w:t>
            </w:r>
          </w:p>
        </w:tc>
        <w:tc>
          <w:tcPr>
            <w:tcW w:w="7499" w:type="dxa"/>
            <w:gridSpan w:val="2"/>
            <w:vAlign w:val="center"/>
          </w:tcPr>
          <w:p w:rsidR="00EE080D" w:rsidRDefault="00C04E08">
            <w:pPr>
              <w:jc w:val="center"/>
            </w:pPr>
            <w:r>
              <w:rPr>
                <w:rFonts w:hint="eastAsia"/>
              </w:rPr>
              <w:t>标准</w:t>
            </w:r>
          </w:p>
        </w:tc>
      </w:tr>
      <w:tr w:rsidR="00EE080D">
        <w:trPr>
          <w:trHeight w:val="524"/>
        </w:trPr>
        <w:tc>
          <w:tcPr>
            <w:tcW w:w="1451" w:type="dxa"/>
            <w:vMerge/>
            <w:vAlign w:val="center"/>
          </w:tcPr>
          <w:p w:rsidR="00EE080D" w:rsidRDefault="00EE080D">
            <w:pPr>
              <w:jc w:val="center"/>
            </w:pPr>
          </w:p>
        </w:tc>
        <w:tc>
          <w:tcPr>
            <w:tcW w:w="2630" w:type="dxa"/>
            <w:vAlign w:val="center"/>
          </w:tcPr>
          <w:p w:rsidR="00EE080D" w:rsidRDefault="00C04E08">
            <w:pPr>
              <w:jc w:val="center"/>
            </w:pPr>
            <w:r>
              <w:rPr>
                <w:rFonts w:hint="eastAsia"/>
              </w:rPr>
              <w:t>国内企业</w:t>
            </w:r>
          </w:p>
        </w:tc>
        <w:tc>
          <w:tcPr>
            <w:tcW w:w="4869" w:type="dxa"/>
            <w:vAlign w:val="center"/>
          </w:tcPr>
          <w:p w:rsidR="00EE080D" w:rsidRDefault="00C04E08">
            <w:pPr>
              <w:jc w:val="center"/>
            </w:pPr>
            <w:r>
              <w:rPr>
                <w:rFonts w:hint="eastAsia"/>
              </w:rPr>
              <w:t>国外或国内合资企业</w:t>
            </w:r>
          </w:p>
        </w:tc>
      </w:tr>
      <w:tr w:rsidR="00EE080D">
        <w:trPr>
          <w:trHeight w:val="598"/>
        </w:trPr>
        <w:tc>
          <w:tcPr>
            <w:tcW w:w="1451" w:type="dxa"/>
            <w:vAlign w:val="center"/>
          </w:tcPr>
          <w:p w:rsidR="00EE080D" w:rsidRDefault="00C04E08">
            <w:r>
              <w:rPr>
                <w:rFonts w:hint="eastAsia"/>
              </w:rPr>
              <w:t>铝合金</w:t>
            </w:r>
            <w:r>
              <w:t>涂层</w:t>
            </w:r>
          </w:p>
        </w:tc>
        <w:tc>
          <w:tcPr>
            <w:tcW w:w="2630" w:type="dxa"/>
            <w:vAlign w:val="center"/>
          </w:tcPr>
          <w:p w:rsidR="00EE080D" w:rsidRDefault="00C04E08">
            <w:pPr>
              <w:jc w:val="center"/>
            </w:pPr>
            <w:r>
              <w:t>——</w:t>
            </w:r>
          </w:p>
        </w:tc>
        <w:tc>
          <w:tcPr>
            <w:tcW w:w="4869" w:type="dxa"/>
            <w:vMerge w:val="restart"/>
            <w:vAlign w:val="center"/>
          </w:tcPr>
          <w:p w:rsidR="00EE080D" w:rsidRDefault="00C04E08">
            <w:r>
              <w:rPr>
                <w:rFonts w:hint="eastAsia"/>
              </w:rPr>
              <w:t>AA-0129</w:t>
            </w:r>
          </w:p>
          <w:p w:rsidR="00EE080D" w:rsidRDefault="00C04E08">
            <w:r>
              <w:rPr>
                <w:rFonts w:hint="eastAsia"/>
              </w:rPr>
              <w:t>（</w:t>
            </w:r>
            <w:r>
              <w:rPr>
                <w:rFonts w:hint="eastAsia"/>
              </w:rPr>
              <w:t>BMW Copper chloride-acetic acid salt spray testing</w:t>
            </w:r>
            <w:r>
              <w:rPr>
                <w:rFonts w:hint="eastAsia"/>
              </w:rPr>
              <w:t>）、</w:t>
            </w:r>
          </w:p>
          <w:p w:rsidR="00EE080D" w:rsidRDefault="00C04E08">
            <w:r>
              <w:rPr>
                <w:rFonts w:hint="eastAsia"/>
              </w:rPr>
              <w:t>TL212</w:t>
            </w:r>
            <w:r>
              <w:rPr>
                <w:rFonts w:hint="eastAsia"/>
              </w:rPr>
              <w:t xml:space="preserve"> </w:t>
            </w:r>
            <w:r>
              <w:rPr>
                <w:rFonts w:hint="eastAsia"/>
              </w:rPr>
              <w:t>VW,</w:t>
            </w:r>
            <w:r>
              <w:rPr>
                <w:rFonts w:hint="eastAsia"/>
              </w:rPr>
              <w:t>铝合金氧化膜耐腐蚀测试方法</w:t>
            </w:r>
          </w:p>
          <w:p w:rsidR="00EE080D" w:rsidRDefault="00C04E08">
            <w:pPr>
              <w:rPr>
                <w:highlight w:val="yellow"/>
              </w:rPr>
            </w:pPr>
            <w:r>
              <w:rPr>
                <w:rFonts w:hint="eastAsia"/>
              </w:rPr>
              <w:t>GMW14872</w:t>
            </w:r>
            <w:r>
              <w:rPr>
                <w:rFonts w:hint="eastAsia"/>
              </w:rPr>
              <w:t>（实验室循环腐蚀方法）</w:t>
            </w:r>
          </w:p>
        </w:tc>
      </w:tr>
      <w:tr w:rsidR="00EE080D">
        <w:trPr>
          <w:trHeight w:val="1476"/>
        </w:trPr>
        <w:tc>
          <w:tcPr>
            <w:tcW w:w="1451" w:type="dxa"/>
            <w:vAlign w:val="center"/>
          </w:tcPr>
          <w:p w:rsidR="00EE080D" w:rsidRDefault="00C04E08">
            <w:r>
              <w:t>铝合金</w:t>
            </w:r>
            <w:r>
              <w:rPr>
                <w:rFonts w:hint="eastAsia"/>
              </w:rPr>
              <w:t>氧化膜</w:t>
            </w:r>
          </w:p>
        </w:tc>
        <w:tc>
          <w:tcPr>
            <w:tcW w:w="2630" w:type="dxa"/>
            <w:vAlign w:val="center"/>
          </w:tcPr>
          <w:p w:rsidR="00EE080D" w:rsidRDefault="00C04E08">
            <w:r>
              <w:rPr>
                <w:rFonts w:hint="eastAsia"/>
              </w:rPr>
              <w:t>GB/T10125/ISO9227:2006</w:t>
            </w:r>
          </w:p>
          <w:p w:rsidR="00EE080D" w:rsidRDefault="00C04E08">
            <w:r>
              <w:rPr>
                <w:rFonts w:hint="eastAsia"/>
              </w:rPr>
              <w:t>CASS \ AASS</w:t>
            </w:r>
          </w:p>
          <w:p w:rsidR="00EE080D" w:rsidRDefault="00C04E08">
            <w:r>
              <w:rPr>
                <w:rFonts w:hint="eastAsia"/>
              </w:rPr>
              <w:t>NEXT EV 1027,149</w:t>
            </w:r>
          </w:p>
          <w:p w:rsidR="00EE080D" w:rsidRDefault="00C04E08">
            <w:r>
              <w:rPr>
                <w:rFonts w:hint="eastAsia"/>
              </w:rPr>
              <w:t>（酸性循环交变试验）</w:t>
            </w:r>
          </w:p>
        </w:tc>
        <w:tc>
          <w:tcPr>
            <w:tcW w:w="4869" w:type="dxa"/>
            <w:vMerge/>
            <w:vAlign w:val="center"/>
          </w:tcPr>
          <w:p w:rsidR="00EE080D" w:rsidRDefault="00EE080D">
            <w:pPr>
              <w:rPr>
                <w:highlight w:val="yellow"/>
              </w:rPr>
            </w:pPr>
          </w:p>
        </w:tc>
      </w:tr>
    </w:tbl>
    <w:p w:rsidR="00EE080D" w:rsidRDefault="00C04E08">
      <w:pPr>
        <w:autoSpaceDE w:val="0"/>
        <w:autoSpaceDN w:val="0"/>
        <w:adjustRightInd w:val="0"/>
        <w:spacing w:beforeLines="50" w:before="156" w:afterLines="50" w:after="156" w:line="360" w:lineRule="auto"/>
        <w:ind w:firstLineChars="200" w:firstLine="480"/>
        <w:jc w:val="left"/>
        <w:rPr>
          <w:rFonts w:ascii="宋体" w:hAnsi="宋体"/>
          <w:kern w:val="0"/>
          <w:sz w:val="24"/>
        </w:rPr>
      </w:pPr>
      <w:r>
        <w:rPr>
          <w:rFonts w:ascii="宋体" w:hAnsi="宋体" w:hint="eastAsia"/>
          <w:kern w:val="0"/>
          <w:sz w:val="24"/>
        </w:rPr>
        <w:t>在标准的编制过程中，对行业相关的技术信息进行了调研，国内外</w:t>
      </w:r>
      <w:r>
        <w:rPr>
          <w:rFonts w:ascii="宋体" w:hAnsi="宋体" w:hint="eastAsia"/>
          <w:kern w:val="0"/>
          <w:sz w:val="24"/>
        </w:rPr>
        <w:t>铝合金涂层耐腐蚀性的试验方法应用见表</w:t>
      </w:r>
      <w:r>
        <w:rPr>
          <w:rFonts w:ascii="宋体" w:hAnsi="宋体" w:hint="eastAsia"/>
          <w:kern w:val="0"/>
          <w:sz w:val="24"/>
        </w:rPr>
        <w:t>1</w:t>
      </w:r>
      <w:r>
        <w:rPr>
          <w:rFonts w:ascii="宋体" w:hAnsi="宋体" w:hint="eastAsia"/>
          <w:kern w:val="0"/>
          <w:sz w:val="24"/>
        </w:rPr>
        <w:t>。</w:t>
      </w:r>
      <w:r>
        <w:rPr>
          <w:rFonts w:ascii="宋体" w:hAnsi="宋体" w:hint="eastAsia"/>
          <w:kern w:val="0"/>
          <w:sz w:val="24"/>
        </w:rPr>
        <w:t>因国内</w:t>
      </w:r>
      <w:r>
        <w:rPr>
          <w:rFonts w:ascii="宋体" w:hAnsi="宋体"/>
          <w:kern w:val="0"/>
          <w:sz w:val="24"/>
        </w:rPr>
        <w:t>主机厂</w:t>
      </w:r>
      <w:r>
        <w:rPr>
          <w:rFonts w:ascii="宋体" w:hAnsi="宋体" w:hint="eastAsia"/>
          <w:kern w:val="0"/>
          <w:sz w:val="24"/>
        </w:rPr>
        <w:t>目前汽车车身铝合金板材涂层的耐腐蚀试验方法还没有统一，本标准是根据铝合金本身的材料性能，采用几种酸性条件下的腐蚀试验方法进行试验对比，并与整车海南道路强化腐蚀试验和盐水试验的结果做对比见表</w:t>
      </w:r>
      <w:r>
        <w:rPr>
          <w:rFonts w:ascii="宋体" w:hAnsi="宋体" w:hint="eastAsia"/>
          <w:kern w:val="0"/>
          <w:sz w:val="24"/>
        </w:rPr>
        <w:t>2</w:t>
      </w:r>
      <w:r>
        <w:rPr>
          <w:rFonts w:ascii="宋体" w:hAnsi="宋体" w:hint="eastAsia"/>
          <w:kern w:val="0"/>
          <w:sz w:val="24"/>
        </w:rPr>
        <w:t>，然后对参数进行拟合，得出与整车腐蚀结果最相近的一种实验舱内加速腐蚀的试验方法。</w:t>
      </w:r>
    </w:p>
    <w:p w:rsidR="00EE080D" w:rsidRDefault="00EE080D">
      <w:pPr>
        <w:autoSpaceDE w:val="0"/>
        <w:autoSpaceDN w:val="0"/>
        <w:adjustRightInd w:val="0"/>
        <w:spacing w:beforeLines="50" w:before="156" w:afterLines="50" w:after="156" w:line="360" w:lineRule="auto"/>
        <w:ind w:firstLineChars="200" w:firstLine="480"/>
        <w:jc w:val="left"/>
        <w:rPr>
          <w:rFonts w:ascii="宋体" w:hAnsi="宋体"/>
          <w:kern w:val="0"/>
          <w:sz w:val="24"/>
        </w:rPr>
      </w:pPr>
    </w:p>
    <w:p w:rsidR="00EE080D" w:rsidRDefault="00C04E08">
      <w:pPr>
        <w:autoSpaceDE w:val="0"/>
        <w:autoSpaceDN w:val="0"/>
        <w:adjustRightInd w:val="0"/>
        <w:spacing w:beforeLines="50" w:before="156" w:afterLines="50" w:after="156" w:line="360" w:lineRule="auto"/>
        <w:ind w:firstLineChars="200" w:firstLine="480"/>
        <w:jc w:val="left"/>
        <w:rPr>
          <w:rFonts w:ascii="宋体" w:hAnsi="宋体"/>
          <w:kern w:val="0"/>
          <w:sz w:val="24"/>
        </w:rPr>
      </w:pPr>
      <w:r>
        <w:rPr>
          <w:rFonts w:ascii="宋体" w:hAnsi="宋体" w:hint="eastAsia"/>
          <w:kern w:val="0"/>
          <w:sz w:val="24"/>
        </w:rPr>
        <w:t>本标准试验方法首先通过压力锅沸水试验检测铝合金复合涂层的附着力，如果不合格就无法继续进行耐腐蚀试验检测。本标准利用四种实验舱加速</w:t>
      </w:r>
      <w:r>
        <w:rPr>
          <w:rFonts w:ascii="宋体" w:hAnsi="宋体" w:hint="eastAsia"/>
          <w:kern w:val="0"/>
          <w:sz w:val="24"/>
        </w:rPr>
        <w:t>腐蚀试验方法，分别为</w:t>
      </w:r>
      <w:r>
        <w:rPr>
          <w:rFonts w:ascii="宋体" w:hAnsi="宋体"/>
          <w:kern w:val="0"/>
          <w:sz w:val="24"/>
        </w:rPr>
        <w:t>铜加速乙酸盐雾（</w:t>
      </w:r>
      <w:r>
        <w:rPr>
          <w:rFonts w:ascii="宋体" w:hAnsi="宋体"/>
          <w:kern w:val="0"/>
          <w:sz w:val="24"/>
        </w:rPr>
        <w:t>CASS</w:t>
      </w:r>
      <w:r>
        <w:rPr>
          <w:rFonts w:ascii="宋体" w:hAnsi="宋体"/>
          <w:kern w:val="0"/>
          <w:sz w:val="24"/>
        </w:rPr>
        <w:t>）试验</w:t>
      </w:r>
      <w:r>
        <w:rPr>
          <w:rFonts w:ascii="宋体" w:hAnsi="宋体" w:hint="eastAsia"/>
          <w:kern w:val="0"/>
          <w:sz w:val="24"/>
        </w:rPr>
        <w:t>、酸性盐雾（</w:t>
      </w:r>
      <w:r>
        <w:rPr>
          <w:rFonts w:ascii="宋体" w:hAnsi="宋体" w:hint="eastAsia"/>
          <w:kern w:val="0"/>
          <w:sz w:val="24"/>
        </w:rPr>
        <w:t>AASS</w:t>
      </w:r>
      <w:r>
        <w:rPr>
          <w:rFonts w:ascii="宋体" w:hAnsi="宋体" w:hint="eastAsia"/>
          <w:kern w:val="0"/>
          <w:sz w:val="24"/>
        </w:rPr>
        <w:t>）试验、</w:t>
      </w:r>
      <w:r>
        <w:rPr>
          <w:rFonts w:ascii="宋体" w:hAnsi="宋体"/>
          <w:kern w:val="0"/>
          <w:sz w:val="24"/>
        </w:rPr>
        <w:t>丝状腐蚀试验</w:t>
      </w:r>
      <w:r>
        <w:rPr>
          <w:rFonts w:ascii="宋体" w:hAnsi="宋体" w:hint="eastAsia"/>
          <w:kern w:val="0"/>
          <w:sz w:val="24"/>
        </w:rPr>
        <w:t>（</w:t>
      </w:r>
      <w:r>
        <w:rPr>
          <w:rFonts w:ascii="宋体" w:hAnsi="宋体" w:hint="eastAsia"/>
          <w:kern w:val="0"/>
          <w:sz w:val="24"/>
        </w:rPr>
        <w:t>FILIFORM</w:t>
      </w:r>
      <w:r>
        <w:rPr>
          <w:rFonts w:ascii="宋体" w:hAnsi="宋体" w:hint="eastAsia"/>
          <w:kern w:val="0"/>
          <w:sz w:val="24"/>
        </w:rPr>
        <w:t>）</w:t>
      </w:r>
      <w:r>
        <w:rPr>
          <w:rFonts w:ascii="宋体" w:hAnsi="宋体" w:hint="eastAsia"/>
          <w:kern w:val="0"/>
          <w:sz w:val="24"/>
        </w:rPr>
        <w:t>、</w:t>
      </w:r>
      <w:r>
        <w:rPr>
          <w:rFonts w:ascii="宋体" w:hAnsi="宋体" w:hint="eastAsia"/>
          <w:kern w:val="0"/>
          <w:sz w:val="24"/>
        </w:rPr>
        <w:t>以及一种</w:t>
      </w:r>
      <w:r>
        <w:rPr>
          <w:rFonts w:ascii="宋体" w:hAnsi="宋体"/>
          <w:kern w:val="0"/>
          <w:sz w:val="24"/>
        </w:rPr>
        <w:t>循环腐蚀试验</w:t>
      </w:r>
      <w:r>
        <w:rPr>
          <w:rFonts w:ascii="宋体" w:hAnsi="宋体" w:hint="eastAsia"/>
          <w:kern w:val="0"/>
          <w:sz w:val="24"/>
        </w:rPr>
        <w:t>方法（</w:t>
      </w:r>
      <w:r>
        <w:rPr>
          <w:rFonts w:ascii="宋体" w:hAnsi="宋体" w:hint="eastAsia"/>
          <w:kern w:val="0"/>
          <w:sz w:val="24"/>
        </w:rPr>
        <w:t>CATCH</w:t>
      </w:r>
      <w:r>
        <w:rPr>
          <w:rFonts w:ascii="宋体" w:hAnsi="宋体" w:hint="eastAsia"/>
          <w:kern w:val="0"/>
          <w:sz w:val="24"/>
        </w:rPr>
        <w:t>），与海南整车道路强化腐蚀试验和盐水试验两种户外试验的结果进行对比，得出与户外结果最接近的一种试验方法，然后再进行参数拟合，使结果更加接近，最终确定试验方法和试验参数。</w:t>
      </w:r>
    </w:p>
    <w:p w:rsidR="00EE080D" w:rsidRDefault="00EE080D">
      <w:pPr>
        <w:autoSpaceDE w:val="0"/>
        <w:autoSpaceDN w:val="0"/>
        <w:adjustRightInd w:val="0"/>
        <w:spacing w:beforeLines="50" w:before="156" w:afterLines="50" w:after="156" w:line="360" w:lineRule="auto"/>
        <w:ind w:firstLineChars="200" w:firstLine="480"/>
        <w:jc w:val="left"/>
        <w:rPr>
          <w:rFonts w:ascii="宋体" w:hAnsi="宋体"/>
          <w:kern w:val="0"/>
          <w:sz w:val="24"/>
        </w:rPr>
      </w:pPr>
    </w:p>
    <w:p w:rsidR="00EE080D" w:rsidRDefault="00C04E08">
      <w:pPr>
        <w:autoSpaceDE w:val="0"/>
        <w:autoSpaceDN w:val="0"/>
        <w:adjustRightInd w:val="0"/>
        <w:spacing w:beforeLines="50" w:before="156" w:afterLines="50" w:after="156" w:line="360" w:lineRule="auto"/>
        <w:ind w:firstLineChars="200" w:firstLine="480"/>
        <w:jc w:val="center"/>
        <w:rPr>
          <w:rFonts w:ascii="宋体" w:hAnsi="宋体"/>
          <w:kern w:val="0"/>
          <w:sz w:val="24"/>
        </w:rPr>
      </w:pPr>
      <w:r>
        <w:rPr>
          <w:rFonts w:ascii="宋体" w:hAnsi="宋体" w:hint="eastAsia"/>
          <w:kern w:val="0"/>
          <w:sz w:val="24"/>
        </w:rPr>
        <w:lastRenderedPageBreak/>
        <w:t>表</w:t>
      </w:r>
      <w:r>
        <w:rPr>
          <w:rFonts w:ascii="宋体" w:hAnsi="宋体" w:hint="eastAsia"/>
          <w:kern w:val="0"/>
          <w:sz w:val="24"/>
        </w:rPr>
        <w:t xml:space="preserve">2 </w:t>
      </w:r>
      <w:r>
        <w:rPr>
          <w:rFonts w:ascii="宋体" w:hAnsi="宋体" w:hint="eastAsia"/>
          <w:kern w:val="0"/>
          <w:sz w:val="24"/>
        </w:rPr>
        <w:t>加速腐蚀试验方法一览表</w:t>
      </w:r>
    </w:p>
    <w:tbl>
      <w:tblPr>
        <w:tblStyle w:val="ae"/>
        <w:tblW w:w="9265" w:type="dxa"/>
        <w:tblLayout w:type="fixed"/>
        <w:tblLook w:val="04A0" w:firstRow="1" w:lastRow="0" w:firstColumn="1" w:lastColumn="0" w:noHBand="0" w:noVBand="1"/>
      </w:tblPr>
      <w:tblGrid>
        <w:gridCol w:w="984"/>
        <w:gridCol w:w="1291"/>
        <w:gridCol w:w="1155"/>
        <w:gridCol w:w="1215"/>
        <w:gridCol w:w="1170"/>
        <w:gridCol w:w="1095"/>
        <w:gridCol w:w="1200"/>
        <w:gridCol w:w="1155"/>
      </w:tblGrid>
      <w:tr w:rsidR="00EE080D">
        <w:tc>
          <w:tcPr>
            <w:tcW w:w="984"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试验方法</w:t>
            </w:r>
          </w:p>
        </w:tc>
        <w:tc>
          <w:tcPr>
            <w:tcW w:w="1291"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压力锅</w:t>
            </w:r>
            <w:r>
              <w:rPr>
                <w:rFonts w:ascii="宋体" w:hAnsi="宋体" w:hint="eastAsia"/>
                <w:kern w:val="0"/>
                <w:szCs w:val="21"/>
              </w:rPr>
              <w:t>/</w:t>
            </w:r>
            <w:r>
              <w:rPr>
                <w:rFonts w:ascii="宋体" w:hAnsi="宋体" w:hint="eastAsia"/>
                <w:kern w:val="0"/>
                <w:szCs w:val="21"/>
              </w:rPr>
              <w:t>沸水</w:t>
            </w:r>
            <w:r>
              <w:rPr>
                <w:rFonts w:ascii="宋体" w:hAnsi="宋体" w:hint="eastAsia"/>
                <w:kern w:val="0"/>
                <w:szCs w:val="21"/>
              </w:rPr>
              <w:t>试验</w:t>
            </w:r>
          </w:p>
        </w:tc>
        <w:tc>
          <w:tcPr>
            <w:tcW w:w="1155"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CASS</w:t>
            </w:r>
          </w:p>
        </w:tc>
        <w:tc>
          <w:tcPr>
            <w:tcW w:w="1215"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AASS</w:t>
            </w:r>
          </w:p>
        </w:tc>
        <w:tc>
          <w:tcPr>
            <w:tcW w:w="1170"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Filiform</w:t>
            </w:r>
          </w:p>
        </w:tc>
        <w:tc>
          <w:tcPr>
            <w:tcW w:w="1095"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CATCH</w:t>
            </w:r>
          </w:p>
        </w:tc>
        <w:tc>
          <w:tcPr>
            <w:tcW w:w="1200"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海南</w:t>
            </w:r>
          </w:p>
          <w:p w:rsidR="00EE080D" w:rsidRDefault="00C04E08">
            <w:pPr>
              <w:jc w:val="center"/>
              <w:rPr>
                <w:rFonts w:ascii="宋体" w:hAnsi="宋体"/>
                <w:kern w:val="0"/>
                <w:szCs w:val="21"/>
              </w:rPr>
            </w:pPr>
            <w:r>
              <w:rPr>
                <w:rFonts w:ascii="宋体" w:hAnsi="宋体" w:hint="eastAsia"/>
                <w:kern w:val="0"/>
                <w:szCs w:val="21"/>
              </w:rPr>
              <w:t>盐水加速</w:t>
            </w:r>
          </w:p>
        </w:tc>
        <w:tc>
          <w:tcPr>
            <w:tcW w:w="1155"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海南道路</w:t>
            </w:r>
          </w:p>
          <w:p w:rsidR="00EE080D" w:rsidRDefault="00C04E08">
            <w:pPr>
              <w:jc w:val="center"/>
              <w:rPr>
                <w:rFonts w:ascii="宋体" w:hAnsi="宋体"/>
                <w:kern w:val="0"/>
                <w:szCs w:val="21"/>
              </w:rPr>
            </w:pPr>
            <w:r>
              <w:rPr>
                <w:rFonts w:ascii="宋体" w:hAnsi="宋体" w:hint="eastAsia"/>
                <w:kern w:val="0"/>
                <w:szCs w:val="21"/>
              </w:rPr>
              <w:t>强化腐蚀</w:t>
            </w:r>
          </w:p>
          <w:p w:rsidR="00EE080D" w:rsidRDefault="00C04E08">
            <w:pPr>
              <w:jc w:val="center"/>
              <w:rPr>
                <w:rFonts w:ascii="宋体" w:hAnsi="宋体"/>
                <w:kern w:val="0"/>
                <w:szCs w:val="21"/>
              </w:rPr>
            </w:pPr>
            <w:r>
              <w:rPr>
                <w:rFonts w:ascii="宋体" w:hAnsi="宋体" w:hint="eastAsia"/>
                <w:kern w:val="0"/>
                <w:szCs w:val="21"/>
              </w:rPr>
              <w:t>试验</w:t>
            </w:r>
          </w:p>
        </w:tc>
      </w:tr>
      <w:tr w:rsidR="00EE080D">
        <w:tc>
          <w:tcPr>
            <w:tcW w:w="984"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参照标准</w:t>
            </w:r>
          </w:p>
        </w:tc>
        <w:tc>
          <w:tcPr>
            <w:tcW w:w="1291" w:type="dxa"/>
            <w:shd w:val="clear" w:color="auto" w:fill="auto"/>
            <w:vAlign w:val="center"/>
          </w:tcPr>
          <w:p w:rsidR="00EE080D" w:rsidRDefault="00C04E08">
            <w:pPr>
              <w:jc w:val="center"/>
              <w:rPr>
                <w:rFonts w:ascii="宋体" w:hAnsi="宋体"/>
                <w:kern w:val="0"/>
                <w:sz w:val="18"/>
                <w:szCs w:val="18"/>
              </w:rPr>
            </w:pPr>
            <w:r>
              <w:rPr>
                <w:rFonts w:ascii="宋体" w:hAnsi="宋体" w:hint="eastAsia"/>
                <w:kern w:val="0"/>
                <w:sz w:val="18"/>
                <w:szCs w:val="18"/>
              </w:rPr>
              <w:t>GB/T5237.4</w:t>
            </w:r>
          </w:p>
          <w:p w:rsidR="00EE080D" w:rsidRDefault="00C04E08">
            <w:pPr>
              <w:jc w:val="center"/>
              <w:rPr>
                <w:rFonts w:ascii="宋体" w:hAnsi="宋体"/>
                <w:kern w:val="0"/>
                <w:sz w:val="18"/>
                <w:szCs w:val="18"/>
              </w:rPr>
            </w:pPr>
            <w:r>
              <w:rPr>
                <w:rFonts w:ascii="宋体" w:hAnsi="宋体" w:hint="eastAsia"/>
                <w:kern w:val="0"/>
                <w:sz w:val="18"/>
                <w:szCs w:val="18"/>
              </w:rPr>
              <w:t>GB/T9286</w:t>
            </w:r>
          </w:p>
        </w:tc>
        <w:tc>
          <w:tcPr>
            <w:tcW w:w="1155" w:type="dxa"/>
            <w:shd w:val="clear" w:color="auto" w:fill="auto"/>
            <w:vAlign w:val="center"/>
          </w:tcPr>
          <w:p w:rsidR="00EE080D" w:rsidRDefault="00C04E08">
            <w:pPr>
              <w:jc w:val="center"/>
              <w:rPr>
                <w:rFonts w:ascii="宋体" w:hAnsi="宋体"/>
                <w:kern w:val="0"/>
                <w:sz w:val="18"/>
                <w:szCs w:val="18"/>
              </w:rPr>
            </w:pPr>
            <w:r>
              <w:rPr>
                <w:rFonts w:ascii="宋体" w:hAnsi="宋体" w:hint="eastAsia"/>
                <w:kern w:val="0"/>
                <w:sz w:val="18"/>
                <w:szCs w:val="18"/>
              </w:rPr>
              <w:t>GB/T10125</w:t>
            </w:r>
          </w:p>
          <w:p w:rsidR="00EE080D" w:rsidRDefault="00C04E08">
            <w:pPr>
              <w:jc w:val="center"/>
              <w:rPr>
                <w:rFonts w:ascii="宋体" w:hAnsi="宋体"/>
                <w:kern w:val="0"/>
                <w:sz w:val="18"/>
                <w:szCs w:val="18"/>
              </w:rPr>
            </w:pPr>
            <w:r>
              <w:rPr>
                <w:rFonts w:ascii="宋体" w:hAnsi="宋体" w:hint="eastAsia"/>
                <w:kern w:val="0"/>
                <w:sz w:val="18"/>
                <w:szCs w:val="18"/>
              </w:rPr>
              <w:t>/ISO9227</w:t>
            </w:r>
          </w:p>
        </w:tc>
        <w:tc>
          <w:tcPr>
            <w:tcW w:w="1215" w:type="dxa"/>
            <w:shd w:val="clear" w:color="auto" w:fill="auto"/>
            <w:vAlign w:val="center"/>
          </w:tcPr>
          <w:p w:rsidR="00EE080D" w:rsidRDefault="00C04E08">
            <w:pPr>
              <w:jc w:val="center"/>
              <w:rPr>
                <w:rFonts w:ascii="宋体" w:hAnsi="宋体"/>
                <w:kern w:val="0"/>
                <w:sz w:val="18"/>
                <w:szCs w:val="18"/>
              </w:rPr>
            </w:pPr>
            <w:r>
              <w:rPr>
                <w:rFonts w:ascii="宋体" w:hAnsi="宋体" w:hint="eastAsia"/>
                <w:kern w:val="0"/>
                <w:sz w:val="18"/>
                <w:szCs w:val="18"/>
              </w:rPr>
              <w:t>GB/T10125</w:t>
            </w:r>
          </w:p>
          <w:p w:rsidR="00EE080D" w:rsidRDefault="00C04E08">
            <w:pPr>
              <w:jc w:val="center"/>
              <w:rPr>
                <w:rFonts w:ascii="宋体" w:hAnsi="宋体"/>
                <w:kern w:val="0"/>
                <w:sz w:val="18"/>
                <w:szCs w:val="18"/>
              </w:rPr>
            </w:pPr>
            <w:r>
              <w:rPr>
                <w:rFonts w:ascii="宋体" w:hAnsi="宋体" w:hint="eastAsia"/>
                <w:kern w:val="0"/>
                <w:sz w:val="18"/>
                <w:szCs w:val="18"/>
              </w:rPr>
              <w:t>/ISO9227</w:t>
            </w:r>
          </w:p>
        </w:tc>
        <w:tc>
          <w:tcPr>
            <w:tcW w:w="1170" w:type="dxa"/>
            <w:shd w:val="clear" w:color="auto" w:fill="auto"/>
            <w:vAlign w:val="center"/>
          </w:tcPr>
          <w:p w:rsidR="00EE080D" w:rsidRDefault="00C04E08">
            <w:pPr>
              <w:jc w:val="center"/>
              <w:rPr>
                <w:rFonts w:ascii="宋体" w:hAnsi="宋体"/>
                <w:kern w:val="0"/>
                <w:sz w:val="18"/>
                <w:szCs w:val="18"/>
              </w:rPr>
            </w:pPr>
            <w:r>
              <w:rPr>
                <w:rFonts w:ascii="宋体" w:hAnsi="宋体" w:hint="eastAsia"/>
                <w:kern w:val="0"/>
                <w:sz w:val="18"/>
                <w:szCs w:val="18"/>
              </w:rPr>
              <w:t>SAEJ2635</w:t>
            </w:r>
          </w:p>
          <w:p w:rsidR="00EE080D" w:rsidRDefault="00EE080D">
            <w:pPr>
              <w:jc w:val="center"/>
              <w:rPr>
                <w:rFonts w:ascii="宋体" w:hAnsi="宋体"/>
                <w:kern w:val="0"/>
                <w:sz w:val="18"/>
                <w:szCs w:val="18"/>
              </w:rPr>
            </w:pPr>
          </w:p>
        </w:tc>
        <w:tc>
          <w:tcPr>
            <w:tcW w:w="1095" w:type="dxa"/>
            <w:shd w:val="clear" w:color="auto" w:fill="auto"/>
            <w:vAlign w:val="center"/>
          </w:tcPr>
          <w:p w:rsidR="00EE080D" w:rsidRDefault="00C04E08">
            <w:pPr>
              <w:jc w:val="center"/>
              <w:rPr>
                <w:rFonts w:ascii="宋体" w:hAnsi="宋体"/>
                <w:kern w:val="0"/>
                <w:sz w:val="18"/>
                <w:szCs w:val="18"/>
              </w:rPr>
            </w:pPr>
            <w:r>
              <w:rPr>
                <w:rFonts w:ascii="宋体" w:hAnsi="宋体" w:hint="eastAsia"/>
                <w:kern w:val="0"/>
                <w:sz w:val="18"/>
                <w:szCs w:val="18"/>
              </w:rPr>
              <w:t>T/CSAE</w:t>
            </w:r>
            <w:r>
              <w:rPr>
                <w:rFonts w:ascii="宋体" w:hAnsi="宋体" w:hint="eastAsia"/>
                <w:kern w:val="0"/>
                <w:sz w:val="18"/>
                <w:szCs w:val="18"/>
              </w:rPr>
              <w:t xml:space="preserve"> </w:t>
            </w:r>
            <w:r>
              <w:rPr>
                <w:rFonts w:ascii="宋体" w:hAnsi="宋体" w:hint="eastAsia"/>
                <w:kern w:val="0"/>
                <w:sz w:val="18"/>
                <w:szCs w:val="18"/>
              </w:rPr>
              <w:t>71</w:t>
            </w:r>
          </w:p>
        </w:tc>
        <w:tc>
          <w:tcPr>
            <w:tcW w:w="1200" w:type="dxa"/>
            <w:shd w:val="clear" w:color="auto" w:fill="auto"/>
            <w:vAlign w:val="center"/>
          </w:tcPr>
          <w:p w:rsidR="00EE080D" w:rsidRDefault="00C04E08">
            <w:pPr>
              <w:jc w:val="center"/>
              <w:rPr>
                <w:rFonts w:ascii="宋体" w:hAnsi="宋体"/>
                <w:kern w:val="0"/>
                <w:sz w:val="18"/>
                <w:szCs w:val="18"/>
              </w:rPr>
            </w:pPr>
            <w:r>
              <w:rPr>
                <w:rFonts w:ascii="宋体" w:hAnsi="宋体" w:hint="eastAsia"/>
                <w:kern w:val="0"/>
                <w:sz w:val="18"/>
                <w:szCs w:val="18"/>
              </w:rPr>
              <w:t>ASTMD6675</w:t>
            </w:r>
          </w:p>
        </w:tc>
        <w:tc>
          <w:tcPr>
            <w:tcW w:w="1155" w:type="dxa"/>
            <w:shd w:val="clear" w:color="auto" w:fill="auto"/>
            <w:vAlign w:val="center"/>
          </w:tcPr>
          <w:p w:rsidR="00EE080D" w:rsidRDefault="00C04E08">
            <w:pPr>
              <w:jc w:val="center"/>
              <w:rPr>
                <w:rFonts w:ascii="宋体" w:hAnsi="宋体"/>
                <w:kern w:val="0"/>
                <w:sz w:val="18"/>
                <w:szCs w:val="18"/>
              </w:rPr>
            </w:pPr>
            <w:r>
              <w:rPr>
                <w:rFonts w:ascii="宋体" w:hAnsi="宋体" w:hint="eastAsia"/>
                <w:kern w:val="0"/>
                <w:sz w:val="18"/>
                <w:szCs w:val="18"/>
              </w:rPr>
              <w:t>QC/T 732</w:t>
            </w:r>
          </w:p>
        </w:tc>
      </w:tr>
      <w:tr w:rsidR="00EE080D">
        <w:tc>
          <w:tcPr>
            <w:tcW w:w="984"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溶液，</w:t>
            </w:r>
            <w:r>
              <w:rPr>
                <w:rFonts w:ascii="宋体" w:hAnsi="宋体" w:hint="eastAsia"/>
                <w:kern w:val="0"/>
                <w:szCs w:val="21"/>
              </w:rPr>
              <w:t>PH</w:t>
            </w:r>
            <w:r>
              <w:rPr>
                <w:rFonts w:ascii="宋体" w:hAnsi="宋体" w:hint="eastAsia"/>
                <w:kern w:val="0"/>
                <w:szCs w:val="21"/>
              </w:rPr>
              <w:t>值</w:t>
            </w:r>
          </w:p>
          <w:p w:rsidR="00EE080D" w:rsidRDefault="00C04E08">
            <w:pPr>
              <w:jc w:val="center"/>
              <w:rPr>
                <w:rFonts w:ascii="宋体" w:hAnsi="宋体"/>
                <w:kern w:val="0"/>
                <w:szCs w:val="21"/>
              </w:rPr>
            </w:pPr>
            <w:r>
              <w:rPr>
                <w:rFonts w:ascii="宋体" w:hAnsi="宋体" w:hint="eastAsia"/>
                <w:kern w:val="0"/>
                <w:szCs w:val="21"/>
              </w:rPr>
              <w:t>和沉降量</w:t>
            </w:r>
          </w:p>
        </w:tc>
        <w:tc>
          <w:tcPr>
            <w:tcW w:w="1291"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GB/T 6682 </w:t>
            </w:r>
            <w:r>
              <w:rPr>
                <w:rFonts w:ascii="宋体" w:hAnsi="宋体" w:hint="eastAsia"/>
                <w:kern w:val="0"/>
                <w:szCs w:val="21"/>
              </w:rPr>
              <w:t>三级水</w:t>
            </w:r>
          </w:p>
        </w:tc>
        <w:tc>
          <w:tcPr>
            <w:tcW w:w="1155"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氯化钠</w:t>
            </w:r>
            <w:r>
              <w:rPr>
                <w:rFonts w:ascii="宋体" w:hAnsi="宋体" w:hint="eastAsia"/>
                <w:kern w:val="0"/>
                <w:szCs w:val="21"/>
              </w:rPr>
              <w:t>50g/L</w:t>
            </w:r>
          </w:p>
          <w:p w:rsidR="00EE080D" w:rsidRDefault="00C04E08">
            <w:pPr>
              <w:jc w:val="center"/>
              <w:rPr>
                <w:rFonts w:ascii="宋体" w:hAnsi="宋体"/>
                <w:kern w:val="0"/>
                <w:szCs w:val="21"/>
              </w:rPr>
            </w:pPr>
            <w:r>
              <w:rPr>
                <w:rFonts w:ascii="宋体" w:hAnsi="宋体" w:hint="eastAsia"/>
                <w:kern w:val="0"/>
                <w:szCs w:val="21"/>
              </w:rPr>
              <w:t>氯化铜</w:t>
            </w:r>
            <w:r>
              <w:rPr>
                <w:rFonts w:ascii="宋体" w:hAnsi="宋体" w:hint="eastAsia"/>
                <w:kern w:val="0"/>
                <w:szCs w:val="21"/>
              </w:rPr>
              <w:t>0.26g/L</w:t>
            </w:r>
          </w:p>
          <w:p w:rsidR="00EE080D" w:rsidRDefault="00C04E08">
            <w:pPr>
              <w:jc w:val="center"/>
              <w:rPr>
                <w:rFonts w:ascii="宋体" w:hAnsi="宋体"/>
                <w:kern w:val="0"/>
                <w:szCs w:val="21"/>
              </w:rPr>
            </w:pPr>
            <w:r>
              <w:rPr>
                <w:rFonts w:ascii="宋体" w:hAnsi="宋体" w:hint="eastAsia"/>
                <w:kern w:val="0"/>
                <w:szCs w:val="21"/>
              </w:rPr>
              <w:t>pH = 3.1~3.3/</w:t>
            </w:r>
            <w:r>
              <w:rPr>
                <w:rFonts w:ascii="宋体" w:hAnsi="宋体" w:hint="eastAsia"/>
                <w:kern w:val="0"/>
                <w:szCs w:val="21"/>
              </w:rPr>
              <w:t>醋酸</w:t>
            </w:r>
          </w:p>
          <w:p w:rsidR="00EE080D" w:rsidRDefault="00C04E08">
            <w:pPr>
              <w:jc w:val="center"/>
              <w:rPr>
                <w:rFonts w:ascii="宋体" w:hAnsi="宋体"/>
                <w:kern w:val="0"/>
                <w:szCs w:val="21"/>
              </w:rPr>
            </w:pPr>
            <w:r>
              <w:rPr>
                <w:rFonts w:ascii="宋体" w:hAnsi="宋体" w:hint="eastAsia"/>
                <w:kern w:val="0"/>
                <w:szCs w:val="21"/>
              </w:rPr>
              <w:t>1</w:t>
            </w:r>
            <w:r>
              <w:rPr>
                <w:rFonts w:ascii="宋体" w:hAnsi="宋体" w:hint="eastAsia"/>
                <w:kern w:val="0"/>
                <w:szCs w:val="21"/>
              </w:rPr>
              <w:t>～</w:t>
            </w:r>
            <w:r>
              <w:rPr>
                <w:rFonts w:ascii="宋体" w:hAnsi="宋体" w:hint="eastAsia"/>
                <w:kern w:val="0"/>
                <w:szCs w:val="21"/>
              </w:rPr>
              <w:t>2mL/h @80cm2</w:t>
            </w:r>
          </w:p>
        </w:tc>
        <w:tc>
          <w:tcPr>
            <w:tcW w:w="1215"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氯化钠</w:t>
            </w:r>
            <w:r>
              <w:rPr>
                <w:rFonts w:ascii="宋体" w:hAnsi="宋体" w:hint="eastAsia"/>
                <w:kern w:val="0"/>
                <w:szCs w:val="21"/>
              </w:rPr>
              <w:t>50g/L</w:t>
            </w:r>
          </w:p>
          <w:p w:rsidR="00EE080D" w:rsidRDefault="00C04E08">
            <w:pPr>
              <w:jc w:val="center"/>
              <w:rPr>
                <w:rFonts w:ascii="宋体" w:hAnsi="宋体"/>
                <w:kern w:val="0"/>
                <w:szCs w:val="21"/>
              </w:rPr>
            </w:pPr>
            <w:r>
              <w:rPr>
                <w:rFonts w:ascii="宋体" w:hAnsi="宋体" w:hint="eastAsia"/>
                <w:kern w:val="0"/>
                <w:szCs w:val="21"/>
              </w:rPr>
              <w:t>氯化铜</w:t>
            </w:r>
            <w:r>
              <w:rPr>
                <w:rFonts w:ascii="宋体" w:hAnsi="宋体" w:hint="eastAsia"/>
                <w:kern w:val="0"/>
                <w:szCs w:val="21"/>
              </w:rPr>
              <w:t>0.26g/L</w:t>
            </w:r>
          </w:p>
          <w:p w:rsidR="00EE080D" w:rsidRDefault="00C04E08">
            <w:pPr>
              <w:jc w:val="center"/>
              <w:rPr>
                <w:rFonts w:ascii="宋体" w:hAnsi="宋体"/>
                <w:kern w:val="0"/>
                <w:szCs w:val="21"/>
              </w:rPr>
            </w:pPr>
            <w:r>
              <w:rPr>
                <w:rFonts w:ascii="宋体" w:hAnsi="宋体" w:hint="eastAsia"/>
                <w:kern w:val="0"/>
                <w:szCs w:val="21"/>
              </w:rPr>
              <w:t>pH = 3.1~3.3/</w:t>
            </w:r>
            <w:r>
              <w:rPr>
                <w:rFonts w:ascii="宋体" w:hAnsi="宋体" w:hint="eastAsia"/>
                <w:kern w:val="0"/>
                <w:szCs w:val="21"/>
              </w:rPr>
              <w:t>醋酸</w:t>
            </w:r>
          </w:p>
          <w:p w:rsidR="00EE080D" w:rsidRDefault="00C04E08">
            <w:pPr>
              <w:jc w:val="center"/>
              <w:rPr>
                <w:rFonts w:ascii="宋体" w:hAnsi="宋体"/>
                <w:kern w:val="0"/>
                <w:szCs w:val="21"/>
              </w:rPr>
            </w:pPr>
            <w:r>
              <w:rPr>
                <w:rFonts w:ascii="宋体" w:hAnsi="宋体" w:hint="eastAsia"/>
                <w:kern w:val="0"/>
                <w:szCs w:val="21"/>
              </w:rPr>
              <w:t>1</w:t>
            </w:r>
            <w:r>
              <w:rPr>
                <w:rFonts w:ascii="宋体" w:hAnsi="宋体" w:hint="eastAsia"/>
                <w:kern w:val="0"/>
                <w:szCs w:val="21"/>
              </w:rPr>
              <w:t>～</w:t>
            </w:r>
            <w:r>
              <w:rPr>
                <w:rFonts w:ascii="宋体" w:hAnsi="宋体" w:hint="eastAsia"/>
                <w:kern w:val="0"/>
                <w:szCs w:val="21"/>
              </w:rPr>
              <w:t>2mL/h @80cm2</w:t>
            </w:r>
          </w:p>
        </w:tc>
        <w:tc>
          <w:tcPr>
            <w:tcW w:w="1170"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同</w:t>
            </w:r>
            <w:r>
              <w:rPr>
                <w:rFonts w:ascii="宋体" w:hAnsi="宋体" w:hint="eastAsia"/>
                <w:kern w:val="0"/>
                <w:szCs w:val="21"/>
              </w:rPr>
              <w:t>CASS</w:t>
            </w:r>
          </w:p>
        </w:tc>
        <w:tc>
          <w:tcPr>
            <w:tcW w:w="1095"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1%</w:t>
            </w:r>
            <w:r>
              <w:rPr>
                <w:rFonts w:ascii="宋体" w:hAnsi="宋体" w:hint="eastAsia"/>
                <w:kern w:val="0"/>
                <w:szCs w:val="21"/>
              </w:rPr>
              <w:t>氯化钠</w:t>
            </w:r>
          </w:p>
          <w:p w:rsidR="00EE080D" w:rsidRDefault="00C04E08">
            <w:pPr>
              <w:jc w:val="center"/>
              <w:rPr>
                <w:rFonts w:ascii="宋体" w:hAnsi="宋体"/>
                <w:kern w:val="0"/>
                <w:szCs w:val="21"/>
              </w:rPr>
            </w:pPr>
            <w:r>
              <w:rPr>
                <w:rFonts w:ascii="宋体" w:hAnsi="宋体" w:hint="eastAsia"/>
                <w:kern w:val="0"/>
                <w:szCs w:val="21"/>
              </w:rPr>
              <w:t>pH = 4.0/</w:t>
            </w:r>
            <w:r>
              <w:rPr>
                <w:rFonts w:ascii="宋体" w:hAnsi="宋体" w:hint="eastAsia"/>
                <w:kern w:val="0"/>
                <w:szCs w:val="21"/>
              </w:rPr>
              <w:t>硫酸</w:t>
            </w:r>
          </w:p>
          <w:p w:rsidR="00EE080D" w:rsidRDefault="00C04E08">
            <w:pPr>
              <w:jc w:val="center"/>
              <w:rPr>
                <w:rFonts w:ascii="宋体" w:hAnsi="宋体"/>
                <w:kern w:val="0"/>
                <w:szCs w:val="21"/>
              </w:rPr>
            </w:pPr>
            <w:r>
              <w:rPr>
                <w:rFonts w:ascii="宋体" w:hAnsi="宋体" w:hint="eastAsia"/>
                <w:kern w:val="0"/>
                <w:szCs w:val="21"/>
              </w:rPr>
              <w:t>39</w:t>
            </w:r>
            <w:r>
              <w:rPr>
                <w:rFonts w:ascii="宋体" w:hAnsi="宋体" w:hint="eastAsia"/>
                <w:kern w:val="0"/>
                <w:szCs w:val="21"/>
              </w:rPr>
              <w:t>～</w:t>
            </w:r>
            <w:r>
              <w:rPr>
                <w:rFonts w:ascii="宋体" w:hAnsi="宋体" w:hint="eastAsia"/>
                <w:kern w:val="0"/>
                <w:szCs w:val="21"/>
              </w:rPr>
              <w:t>79mL/h</w:t>
            </w:r>
          </w:p>
          <w:p w:rsidR="00EE080D" w:rsidRDefault="00C04E08">
            <w:pPr>
              <w:jc w:val="center"/>
              <w:rPr>
                <w:rFonts w:ascii="宋体" w:hAnsi="宋体"/>
                <w:kern w:val="0"/>
                <w:szCs w:val="21"/>
              </w:rPr>
            </w:pPr>
            <w:r>
              <w:rPr>
                <w:rFonts w:ascii="宋体" w:hAnsi="宋体" w:hint="eastAsia"/>
                <w:kern w:val="0"/>
                <w:szCs w:val="21"/>
              </w:rPr>
              <w:t>@80cm2</w:t>
            </w:r>
          </w:p>
          <w:p w:rsidR="00EE080D" w:rsidRDefault="00C04E08">
            <w:pPr>
              <w:jc w:val="center"/>
              <w:rPr>
                <w:rFonts w:ascii="宋体" w:hAnsi="宋体"/>
                <w:kern w:val="0"/>
                <w:szCs w:val="21"/>
              </w:rPr>
            </w:pPr>
            <w:r>
              <w:rPr>
                <w:rFonts w:ascii="宋体" w:hAnsi="宋体" w:hint="eastAsia"/>
                <w:kern w:val="0"/>
                <w:szCs w:val="21"/>
              </w:rPr>
              <w:t>(16min per day)</w:t>
            </w:r>
          </w:p>
        </w:tc>
        <w:tc>
          <w:tcPr>
            <w:tcW w:w="1200"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5%</w:t>
            </w:r>
            <w:r>
              <w:rPr>
                <w:rFonts w:ascii="宋体" w:hAnsi="宋体" w:hint="eastAsia"/>
                <w:kern w:val="0"/>
                <w:szCs w:val="21"/>
              </w:rPr>
              <w:t>氯化钠</w:t>
            </w:r>
          </w:p>
          <w:p w:rsidR="00EE080D" w:rsidRDefault="00C04E08">
            <w:pPr>
              <w:jc w:val="center"/>
              <w:rPr>
                <w:rFonts w:ascii="宋体" w:hAnsi="宋体"/>
                <w:kern w:val="0"/>
                <w:szCs w:val="21"/>
              </w:rPr>
            </w:pPr>
            <w:r>
              <w:rPr>
                <w:rFonts w:ascii="宋体" w:hAnsi="宋体" w:hint="eastAsia"/>
                <w:kern w:val="0"/>
                <w:szCs w:val="21"/>
              </w:rPr>
              <w:t>中性</w:t>
            </w:r>
          </w:p>
          <w:p w:rsidR="00EE080D" w:rsidRDefault="00C04E08">
            <w:pPr>
              <w:jc w:val="center"/>
              <w:rPr>
                <w:rFonts w:ascii="宋体" w:hAnsi="宋体"/>
                <w:kern w:val="0"/>
                <w:szCs w:val="21"/>
              </w:rPr>
            </w:pPr>
            <w:r>
              <w:rPr>
                <w:rFonts w:ascii="宋体" w:hAnsi="宋体" w:hint="eastAsia"/>
                <w:kern w:val="0"/>
                <w:szCs w:val="21"/>
              </w:rPr>
              <w:t>每周两次</w:t>
            </w:r>
          </w:p>
        </w:tc>
        <w:tc>
          <w:tcPr>
            <w:tcW w:w="1155"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5%</w:t>
            </w:r>
            <w:r>
              <w:rPr>
                <w:rFonts w:ascii="宋体" w:hAnsi="宋体" w:hint="eastAsia"/>
                <w:kern w:val="0"/>
                <w:szCs w:val="21"/>
              </w:rPr>
              <w:t>氯化钠</w:t>
            </w:r>
          </w:p>
          <w:p w:rsidR="00EE080D" w:rsidRDefault="00C04E08">
            <w:pPr>
              <w:jc w:val="center"/>
              <w:rPr>
                <w:rFonts w:ascii="宋体" w:hAnsi="宋体"/>
                <w:kern w:val="0"/>
                <w:szCs w:val="21"/>
              </w:rPr>
            </w:pPr>
            <w:r>
              <w:rPr>
                <w:rFonts w:ascii="宋体" w:hAnsi="宋体" w:hint="eastAsia"/>
                <w:kern w:val="0"/>
                <w:szCs w:val="21"/>
              </w:rPr>
              <w:t>中性</w:t>
            </w:r>
          </w:p>
        </w:tc>
      </w:tr>
      <w:tr w:rsidR="00EE080D">
        <w:tc>
          <w:tcPr>
            <w:tcW w:w="984"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温湿度等指标</w:t>
            </w:r>
          </w:p>
        </w:tc>
        <w:tc>
          <w:tcPr>
            <w:tcW w:w="1291"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100</w:t>
            </w:r>
            <w:r>
              <w:rPr>
                <w:rFonts w:ascii="宋体" w:hAnsi="宋体" w:hint="eastAsia"/>
                <w:kern w:val="0"/>
                <w:szCs w:val="21"/>
              </w:rPr>
              <w:t>°</w:t>
            </w:r>
            <w:r>
              <w:rPr>
                <w:rFonts w:ascii="宋体" w:hAnsi="宋体" w:hint="eastAsia"/>
                <w:kern w:val="0"/>
                <w:szCs w:val="21"/>
              </w:rPr>
              <w:t>C</w:t>
            </w:r>
          </w:p>
          <w:p w:rsidR="00EE080D" w:rsidRDefault="00C04E08">
            <w:pPr>
              <w:jc w:val="center"/>
              <w:rPr>
                <w:rFonts w:ascii="宋体" w:hAnsi="宋体"/>
                <w:kern w:val="0"/>
                <w:szCs w:val="21"/>
              </w:rPr>
            </w:pPr>
            <w:r>
              <w:rPr>
                <w:rFonts w:ascii="宋体" w:hAnsi="宋体" w:hint="eastAsia"/>
                <w:kern w:val="0"/>
                <w:szCs w:val="21"/>
              </w:rPr>
              <w:t>(</w:t>
            </w:r>
            <w:r>
              <w:rPr>
                <w:rFonts w:ascii="宋体" w:hAnsi="宋体" w:hint="eastAsia"/>
                <w:kern w:val="0"/>
                <w:szCs w:val="21"/>
              </w:rPr>
              <w:t>试验压力：</w:t>
            </w:r>
            <w:r>
              <w:rPr>
                <w:rFonts w:ascii="宋体" w:hAnsi="宋体" w:hint="eastAsia"/>
                <w:kern w:val="0"/>
                <w:szCs w:val="21"/>
              </w:rPr>
              <w:t>100kpa</w:t>
            </w:r>
            <w:r>
              <w:rPr>
                <w:rFonts w:ascii="宋体" w:hAnsi="宋体" w:hint="eastAsia"/>
                <w:kern w:val="0"/>
                <w:szCs w:val="21"/>
              </w:rPr>
              <w:t>±</w:t>
            </w:r>
            <w:r>
              <w:rPr>
                <w:rFonts w:ascii="宋体" w:hAnsi="宋体" w:hint="eastAsia"/>
                <w:kern w:val="0"/>
                <w:szCs w:val="21"/>
              </w:rPr>
              <w:t>10Kpa)</w:t>
            </w:r>
          </w:p>
        </w:tc>
        <w:tc>
          <w:tcPr>
            <w:tcW w:w="1155"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50</w:t>
            </w:r>
            <w:r>
              <w:rPr>
                <w:rFonts w:ascii="宋体" w:hAnsi="宋体" w:hint="eastAsia"/>
                <w:kern w:val="0"/>
                <w:szCs w:val="21"/>
              </w:rPr>
              <w:t>°</w:t>
            </w:r>
            <w:r>
              <w:rPr>
                <w:rFonts w:ascii="宋体" w:hAnsi="宋体" w:hint="eastAsia"/>
                <w:kern w:val="0"/>
                <w:szCs w:val="21"/>
              </w:rPr>
              <w:t>C</w:t>
            </w:r>
          </w:p>
        </w:tc>
        <w:tc>
          <w:tcPr>
            <w:tcW w:w="1215"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35</w:t>
            </w:r>
            <w:r>
              <w:rPr>
                <w:rFonts w:ascii="宋体" w:hAnsi="宋体" w:hint="eastAsia"/>
                <w:kern w:val="0"/>
                <w:szCs w:val="21"/>
              </w:rPr>
              <w:t>°</w:t>
            </w:r>
            <w:r>
              <w:rPr>
                <w:rFonts w:ascii="宋体" w:hAnsi="宋体" w:hint="eastAsia"/>
                <w:kern w:val="0"/>
                <w:szCs w:val="21"/>
              </w:rPr>
              <w:t>C</w:t>
            </w:r>
          </w:p>
        </w:tc>
        <w:tc>
          <w:tcPr>
            <w:tcW w:w="1170"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6 hours CASS</w:t>
            </w:r>
          </w:p>
          <w:p w:rsidR="00EE080D" w:rsidRDefault="00C04E08">
            <w:pPr>
              <w:jc w:val="center"/>
              <w:rPr>
                <w:rFonts w:ascii="宋体" w:hAnsi="宋体"/>
                <w:kern w:val="0"/>
                <w:szCs w:val="21"/>
              </w:rPr>
            </w:pPr>
            <w:r>
              <w:rPr>
                <w:rFonts w:ascii="宋体" w:hAnsi="宋体" w:hint="eastAsia"/>
                <w:kern w:val="0"/>
                <w:szCs w:val="21"/>
              </w:rPr>
              <w:t>+60C,85%RH,</w:t>
            </w:r>
          </w:p>
          <w:p w:rsidR="00EE080D" w:rsidRDefault="00C04E08">
            <w:pPr>
              <w:jc w:val="center"/>
              <w:rPr>
                <w:rFonts w:ascii="宋体" w:hAnsi="宋体"/>
                <w:kern w:val="0"/>
                <w:szCs w:val="21"/>
              </w:rPr>
            </w:pPr>
            <w:r>
              <w:rPr>
                <w:rFonts w:ascii="宋体" w:hAnsi="宋体" w:hint="eastAsia"/>
                <w:kern w:val="0"/>
                <w:szCs w:val="21"/>
              </w:rPr>
              <w:t>风速</w:t>
            </w:r>
            <w:r>
              <w:rPr>
                <w:rFonts w:ascii="宋体" w:hAnsi="宋体" w:hint="eastAsia"/>
                <w:kern w:val="0"/>
                <w:szCs w:val="21"/>
              </w:rPr>
              <w:t>6-24 m/min</w:t>
            </w:r>
          </w:p>
        </w:tc>
        <w:tc>
          <w:tcPr>
            <w:tcW w:w="1095"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见标准</w:t>
            </w:r>
          </w:p>
        </w:tc>
        <w:tc>
          <w:tcPr>
            <w:tcW w:w="1200"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w:t>
            </w:r>
          </w:p>
        </w:tc>
        <w:tc>
          <w:tcPr>
            <w:tcW w:w="1155"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w:t>
            </w:r>
          </w:p>
        </w:tc>
      </w:tr>
      <w:tr w:rsidR="00EE080D">
        <w:tc>
          <w:tcPr>
            <w:tcW w:w="984"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试验总时间</w:t>
            </w:r>
          </w:p>
        </w:tc>
        <w:tc>
          <w:tcPr>
            <w:tcW w:w="1291"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1h</w:t>
            </w:r>
          </w:p>
        </w:tc>
        <w:tc>
          <w:tcPr>
            <w:tcW w:w="1155"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240h</w:t>
            </w:r>
          </w:p>
        </w:tc>
        <w:tc>
          <w:tcPr>
            <w:tcW w:w="1215"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1980h</w:t>
            </w:r>
          </w:p>
        </w:tc>
        <w:tc>
          <w:tcPr>
            <w:tcW w:w="1170"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6h</w:t>
            </w:r>
            <w:r>
              <w:rPr>
                <w:rFonts w:ascii="宋体" w:hAnsi="宋体" w:hint="eastAsia"/>
                <w:kern w:val="0"/>
                <w:szCs w:val="21"/>
              </w:rPr>
              <w:t xml:space="preserve"> </w:t>
            </w:r>
            <w:r>
              <w:rPr>
                <w:rFonts w:ascii="宋体" w:hAnsi="宋体" w:hint="eastAsia"/>
                <w:kern w:val="0"/>
                <w:szCs w:val="21"/>
              </w:rPr>
              <w:t>CASS</w:t>
            </w:r>
          </w:p>
          <w:p w:rsidR="00EE080D" w:rsidRDefault="00C04E08">
            <w:pPr>
              <w:jc w:val="center"/>
              <w:rPr>
                <w:rFonts w:ascii="宋体" w:hAnsi="宋体"/>
                <w:kern w:val="0"/>
                <w:szCs w:val="21"/>
              </w:rPr>
            </w:pPr>
            <w:r>
              <w:rPr>
                <w:rFonts w:ascii="宋体" w:hAnsi="宋体" w:hint="eastAsia"/>
                <w:kern w:val="0"/>
                <w:szCs w:val="21"/>
              </w:rPr>
              <w:t>+672h</w:t>
            </w:r>
          </w:p>
        </w:tc>
        <w:tc>
          <w:tcPr>
            <w:tcW w:w="1095"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2980h</w:t>
            </w:r>
          </w:p>
        </w:tc>
        <w:tc>
          <w:tcPr>
            <w:tcW w:w="1200"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2</w:t>
            </w:r>
            <w:r>
              <w:rPr>
                <w:rFonts w:ascii="宋体" w:hAnsi="宋体" w:hint="eastAsia"/>
                <w:kern w:val="0"/>
                <w:szCs w:val="21"/>
              </w:rPr>
              <w:t>年</w:t>
            </w:r>
          </w:p>
        </w:tc>
        <w:tc>
          <w:tcPr>
            <w:tcW w:w="1155"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120</w:t>
            </w:r>
            <w:r>
              <w:rPr>
                <w:rFonts w:ascii="宋体" w:hAnsi="宋体" w:hint="eastAsia"/>
                <w:kern w:val="0"/>
                <w:szCs w:val="21"/>
              </w:rPr>
              <w:t>天</w:t>
            </w:r>
          </w:p>
        </w:tc>
      </w:tr>
      <w:tr w:rsidR="00EE080D">
        <w:tc>
          <w:tcPr>
            <w:tcW w:w="984"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试验单位</w:t>
            </w:r>
          </w:p>
        </w:tc>
        <w:tc>
          <w:tcPr>
            <w:tcW w:w="1291"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帝业化学</w:t>
            </w:r>
          </w:p>
        </w:tc>
        <w:tc>
          <w:tcPr>
            <w:tcW w:w="1155"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阿克苏</w:t>
            </w:r>
            <w:r>
              <w:rPr>
                <w:rFonts w:ascii="宋体" w:hAnsi="宋体" w:hint="eastAsia"/>
                <w:kern w:val="0"/>
                <w:szCs w:val="21"/>
              </w:rPr>
              <w:t>/</w:t>
            </w:r>
            <w:r>
              <w:rPr>
                <w:rFonts w:ascii="宋体" w:hAnsi="宋体" w:hint="eastAsia"/>
                <w:kern w:val="0"/>
                <w:szCs w:val="21"/>
              </w:rPr>
              <w:t>威凯</w:t>
            </w:r>
          </w:p>
        </w:tc>
        <w:tc>
          <w:tcPr>
            <w:tcW w:w="1215"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美信</w:t>
            </w:r>
            <w:r>
              <w:rPr>
                <w:rFonts w:ascii="宋体" w:hAnsi="宋体" w:hint="eastAsia"/>
                <w:kern w:val="0"/>
                <w:szCs w:val="21"/>
              </w:rPr>
              <w:t>/</w:t>
            </w:r>
            <w:r>
              <w:rPr>
                <w:rFonts w:ascii="宋体" w:hAnsi="宋体" w:hint="eastAsia"/>
                <w:kern w:val="0"/>
                <w:szCs w:val="21"/>
              </w:rPr>
              <w:t>忠旺</w:t>
            </w:r>
          </w:p>
        </w:tc>
        <w:tc>
          <w:tcPr>
            <w:tcW w:w="1170"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北奔</w:t>
            </w:r>
            <w:r>
              <w:rPr>
                <w:rFonts w:ascii="宋体" w:hAnsi="宋体" w:hint="eastAsia"/>
                <w:kern w:val="0"/>
                <w:szCs w:val="21"/>
              </w:rPr>
              <w:t>/</w:t>
            </w:r>
            <w:r>
              <w:rPr>
                <w:rFonts w:ascii="宋体" w:hAnsi="宋体" w:hint="eastAsia"/>
                <w:kern w:val="0"/>
                <w:szCs w:val="21"/>
              </w:rPr>
              <w:t>威凯</w:t>
            </w:r>
          </w:p>
        </w:tc>
        <w:tc>
          <w:tcPr>
            <w:tcW w:w="1095"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阿克苏</w:t>
            </w:r>
            <w:r>
              <w:rPr>
                <w:rFonts w:ascii="宋体" w:hAnsi="宋体" w:hint="eastAsia"/>
                <w:kern w:val="0"/>
                <w:szCs w:val="21"/>
              </w:rPr>
              <w:t>/</w:t>
            </w:r>
            <w:r>
              <w:rPr>
                <w:rFonts w:ascii="宋体" w:hAnsi="宋体" w:hint="eastAsia"/>
                <w:kern w:val="0"/>
                <w:szCs w:val="21"/>
              </w:rPr>
              <w:t>威凯</w:t>
            </w:r>
          </w:p>
        </w:tc>
        <w:tc>
          <w:tcPr>
            <w:tcW w:w="1200"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QLAB/</w:t>
            </w:r>
            <w:r>
              <w:rPr>
                <w:rFonts w:ascii="宋体" w:hAnsi="宋体" w:hint="eastAsia"/>
                <w:kern w:val="0"/>
                <w:szCs w:val="21"/>
              </w:rPr>
              <w:t>海南试验场</w:t>
            </w:r>
          </w:p>
        </w:tc>
        <w:tc>
          <w:tcPr>
            <w:tcW w:w="1155" w:type="dxa"/>
            <w:shd w:val="clear" w:color="auto" w:fill="auto"/>
            <w:vAlign w:val="center"/>
          </w:tcPr>
          <w:p w:rsidR="00EE080D" w:rsidRDefault="00C04E08">
            <w:pPr>
              <w:jc w:val="center"/>
              <w:rPr>
                <w:rFonts w:ascii="宋体" w:hAnsi="宋体"/>
                <w:kern w:val="0"/>
                <w:szCs w:val="21"/>
              </w:rPr>
            </w:pPr>
            <w:r>
              <w:rPr>
                <w:rFonts w:ascii="宋体" w:hAnsi="宋体" w:hint="eastAsia"/>
                <w:kern w:val="0"/>
                <w:szCs w:val="21"/>
              </w:rPr>
              <w:t>天津一汽</w:t>
            </w:r>
            <w:r>
              <w:rPr>
                <w:rFonts w:ascii="宋体" w:hAnsi="宋体" w:hint="eastAsia"/>
                <w:kern w:val="0"/>
                <w:szCs w:val="21"/>
              </w:rPr>
              <w:t>/</w:t>
            </w:r>
            <w:r>
              <w:rPr>
                <w:rFonts w:ascii="宋体" w:hAnsi="宋体" w:hint="eastAsia"/>
                <w:kern w:val="0"/>
                <w:szCs w:val="21"/>
              </w:rPr>
              <w:t>江淮</w:t>
            </w:r>
            <w:r>
              <w:rPr>
                <w:rFonts w:ascii="宋体" w:hAnsi="宋体" w:hint="eastAsia"/>
                <w:kern w:val="0"/>
                <w:szCs w:val="21"/>
              </w:rPr>
              <w:t>/</w:t>
            </w:r>
            <w:r>
              <w:rPr>
                <w:rFonts w:ascii="宋体" w:hAnsi="宋体" w:hint="eastAsia"/>
                <w:kern w:val="0"/>
                <w:szCs w:val="21"/>
              </w:rPr>
              <w:t>海南试验场</w:t>
            </w:r>
          </w:p>
        </w:tc>
      </w:tr>
    </w:tbl>
    <w:p w:rsidR="00EE080D" w:rsidRDefault="00EE080D">
      <w:pPr>
        <w:widowControl/>
        <w:spacing w:line="360" w:lineRule="auto"/>
        <w:jc w:val="left"/>
        <w:rPr>
          <w:rFonts w:ascii="宋体" w:hAnsi="宋体"/>
          <w:kern w:val="0"/>
          <w:sz w:val="24"/>
        </w:rPr>
      </w:pP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2.5</w:t>
      </w:r>
      <w:r>
        <w:rPr>
          <w:rFonts w:ascii="宋体" w:hAnsi="宋体" w:hint="eastAsia"/>
          <w:kern w:val="0"/>
          <w:sz w:val="24"/>
        </w:rPr>
        <w:t>标准工作基础</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编写组主要起草单位</w:t>
      </w:r>
      <w:r>
        <w:rPr>
          <w:rFonts w:ascii="宋体" w:hAnsi="宋体" w:hint="eastAsia"/>
          <w:kern w:val="0"/>
          <w:sz w:val="24"/>
        </w:rPr>
        <w:t>安徽江淮汽车集团股份有限公司已经批量生产全铝车身，现场设备工艺和材料都已调试合格，条件完善，前期已经通过中性盐雾试验对铝合金板材做了</w:t>
      </w:r>
      <w:r>
        <w:rPr>
          <w:rFonts w:ascii="宋体" w:hAnsi="宋体" w:hint="eastAsia"/>
          <w:kern w:val="0"/>
          <w:sz w:val="24"/>
        </w:rPr>
        <w:t>2000</w:t>
      </w:r>
      <w:r>
        <w:rPr>
          <w:rFonts w:ascii="宋体" w:hAnsi="宋体" w:hint="eastAsia"/>
          <w:kern w:val="0"/>
          <w:sz w:val="24"/>
        </w:rPr>
        <w:t>小时的盐雾试验，未出现腐蚀现象，但在海南强化腐蚀试验车上挂板试验却出现了漆膜划痕边缘区域起泡现象。</w:t>
      </w:r>
      <w:r>
        <w:rPr>
          <w:rFonts w:ascii="宋体" w:hAnsi="宋体" w:hint="eastAsia"/>
          <w:kern w:val="0"/>
          <w:sz w:val="24"/>
        </w:rPr>
        <w:t>QLAB</w:t>
      </w:r>
      <w:r>
        <w:rPr>
          <w:rFonts w:ascii="宋体" w:hAnsi="宋体" w:hint="eastAsia"/>
          <w:kern w:val="0"/>
          <w:sz w:val="24"/>
        </w:rPr>
        <w:t>公司、阿克苏诺贝尔公司、威凯以及美信等检测公司，参与过铝合金轮毂等零部件材料的检测，都具备各项试验的检测能力和丰富的检测经验。</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在标准的编制过程中，同时参考了以下国</w:t>
      </w:r>
      <w:r>
        <w:rPr>
          <w:rFonts w:ascii="宋体" w:hAnsi="宋体" w:hint="eastAsia"/>
          <w:kern w:val="0"/>
          <w:sz w:val="24"/>
        </w:rPr>
        <w:t>内外</w:t>
      </w:r>
      <w:r>
        <w:rPr>
          <w:rFonts w:ascii="宋体" w:hAnsi="宋体" w:hint="eastAsia"/>
          <w:kern w:val="0"/>
          <w:sz w:val="24"/>
        </w:rPr>
        <w:t>标准：</w:t>
      </w:r>
    </w:p>
    <w:p w:rsidR="00EE080D" w:rsidRDefault="00C04E08">
      <w:pPr>
        <w:widowControl/>
        <w:spacing w:line="360" w:lineRule="auto"/>
        <w:ind w:firstLineChars="200" w:firstLine="480"/>
        <w:jc w:val="left"/>
        <w:rPr>
          <w:rFonts w:ascii="宋体" w:hAnsi="宋体"/>
          <w:kern w:val="0"/>
          <w:sz w:val="24"/>
        </w:rPr>
      </w:pPr>
      <w:bookmarkStart w:id="1" w:name="_Toc361764945"/>
      <w:bookmarkStart w:id="2" w:name="_Toc365234485"/>
      <w:r>
        <w:rPr>
          <w:rFonts w:ascii="宋体" w:hAnsi="宋体" w:hint="eastAsia"/>
          <w:kern w:val="0"/>
          <w:sz w:val="24"/>
        </w:rPr>
        <w:t xml:space="preserve">GB/T 10125-2012 </w:t>
      </w:r>
      <w:r>
        <w:rPr>
          <w:rFonts w:ascii="宋体" w:hAnsi="宋体" w:hint="eastAsia"/>
          <w:kern w:val="0"/>
          <w:sz w:val="24"/>
        </w:rPr>
        <w:t>人造气氛腐蚀试验</w:t>
      </w:r>
      <w:r>
        <w:rPr>
          <w:rFonts w:ascii="宋体" w:hAnsi="宋体" w:hint="eastAsia"/>
          <w:kern w:val="0"/>
          <w:sz w:val="24"/>
        </w:rPr>
        <w:t xml:space="preserve">  </w:t>
      </w:r>
      <w:r>
        <w:rPr>
          <w:rFonts w:ascii="宋体" w:hAnsi="宋体" w:hint="eastAsia"/>
          <w:kern w:val="0"/>
          <w:sz w:val="24"/>
        </w:rPr>
        <w:t>盐雾试验</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 xml:space="preserve">GB/T </w:t>
      </w:r>
      <w:r>
        <w:rPr>
          <w:rFonts w:ascii="宋体" w:hAnsi="宋体" w:hint="eastAsia"/>
          <w:kern w:val="0"/>
          <w:sz w:val="24"/>
        </w:rPr>
        <w:t xml:space="preserve">13452.2-2008 </w:t>
      </w:r>
      <w:r>
        <w:rPr>
          <w:rFonts w:ascii="宋体" w:hAnsi="宋体" w:hint="eastAsia"/>
          <w:kern w:val="0"/>
          <w:sz w:val="24"/>
        </w:rPr>
        <w:t>色漆和清漆</w:t>
      </w:r>
      <w:r>
        <w:rPr>
          <w:rFonts w:ascii="宋体" w:hAnsi="宋体" w:hint="eastAsia"/>
          <w:kern w:val="0"/>
          <w:sz w:val="24"/>
        </w:rPr>
        <w:t xml:space="preserve">  </w:t>
      </w:r>
      <w:r>
        <w:rPr>
          <w:rFonts w:ascii="宋体" w:hAnsi="宋体" w:hint="eastAsia"/>
          <w:kern w:val="0"/>
          <w:sz w:val="24"/>
        </w:rPr>
        <w:t>漆膜厚度的测定</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lastRenderedPageBreak/>
        <w:t xml:space="preserve">GB/T </w:t>
      </w:r>
      <w:r>
        <w:rPr>
          <w:rFonts w:ascii="宋体" w:hAnsi="宋体" w:hint="eastAsia"/>
          <w:kern w:val="0"/>
          <w:sz w:val="24"/>
        </w:rPr>
        <w:t>26323</w:t>
      </w:r>
      <w:r>
        <w:rPr>
          <w:rFonts w:ascii="宋体" w:hAnsi="宋体" w:hint="eastAsia"/>
          <w:kern w:val="0"/>
          <w:sz w:val="24"/>
        </w:rPr>
        <w:t>-20</w:t>
      </w:r>
      <w:r>
        <w:rPr>
          <w:rFonts w:ascii="宋体" w:hAnsi="宋体" w:hint="eastAsia"/>
          <w:kern w:val="0"/>
          <w:sz w:val="24"/>
        </w:rPr>
        <w:t>10</w:t>
      </w:r>
      <w:r>
        <w:rPr>
          <w:rFonts w:ascii="宋体" w:hAnsi="宋体" w:hint="eastAsia"/>
          <w:kern w:val="0"/>
          <w:sz w:val="24"/>
        </w:rPr>
        <w:t xml:space="preserve"> </w:t>
      </w:r>
      <w:r>
        <w:rPr>
          <w:rFonts w:ascii="宋体" w:hAnsi="宋体" w:hint="eastAsia"/>
          <w:kern w:val="0"/>
          <w:sz w:val="24"/>
        </w:rPr>
        <w:t>色漆和清漆</w:t>
      </w:r>
      <w:r>
        <w:rPr>
          <w:rFonts w:ascii="宋体" w:hAnsi="宋体" w:hint="eastAsia"/>
          <w:kern w:val="0"/>
          <w:sz w:val="24"/>
        </w:rPr>
        <w:t xml:space="preserve">  </w:t>
      </w:r>
      <w:r>
        <w:rPr>
          <w:rFonts w:ascii="宋体" w:hAnsi="宋体" w:hint="eastAsia"/>
          <w:kern w:val="0"/>
          <w:sz w:val="24"/>
        </w:rPr>
        <w:t>铝及铝合金表面涂膜的耐丝状腐蚀试验</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 xml:space="preserve">GB/T </w:t>
      </w:r>
      <w:r>
        <w:rPr>
          <w:rFonts w:ascii="宋体" w:hAnsi="宋体" w:hint="eastAsia"/>
          <w:kern w:val="0"/>
          <w:sz w:val="24"/>
        </w:rPr>
        <w:t>5237.4</w:t>
      </w:r>
      <w:r>
        <w:rPr>
          <w:rFonts w:ascii="宋体" w:hAnsi="宋体" w:hint="eastAsia"/>
          <w:kern w:val="0"/>
          <w:sz w:val="24"/>
        </w:rPr>
        <w:t>-20</w:t>
      </w:r>
      <w:r>
        <w:rPr>
          <w:rFonts w:ascii="宋体" w:hAnsi="宋体" w:hint="eastAsia"/>
          <w:kern w:val="0"/>
          <w:sz w:val="24"/>
        </w:rPr>
        <w:t>08</w:t>
      </w:r>
      <w:r>
        <w:rPr>
          <w:rFonts w:ascii="宋体" w:hAnsi="宋体" w:hint="eastAsia"/>
          <w:kern w:val="0"/>
          <w:sz w:val="24"/>
        </w:rPr>
        <w:t xml:space="preserve"> </w:t>
      </w:r>
      <w:r>
        <w:rPr>
          <w:rFonts w:ascii="宋体" w:hAnsi="宋体" w:hint="eastAsia"/>
          <w:kern w:val="0"/>
          <w:sz w:val="24"/>
        </w:rPr>
        <w:t>铝合金建筑材料</w:t>
      </w:r>
      <w:r>
        <w:rPr>
          <w:rFonts w:ascii="宋体" w:hAnsi="宋体" w:hint="eastAsia"/>
          <w:kern w:val="0"/>
          <w:sz w:val="24"/>
        </w:rPr>
        <w:t xml:space="preserve">  </w:t>
      </w:r>
      <w:r>
        <w:rPr>
          <w:rFonts w:ascii="宋体" w:hAnsi="宋体" w:hint="eastAsia"/>
          <w:kern w:val="0"/>
          <w:sz w:val="24"/>
        </w:rPr>
        <w:t>第</w:t>
      </w:r>
      <w:r>
        <w:rPr>
          <w:rFonts w:ascii="宋体" w:hAnsi="宋体" w:hint="eastAsia"/>
          <w:kern w:val="0"/>
          <w:sz w:val="24"/>
        </w:rPr>
        <w:t>4</w:t>
      </w:r>
      <w:r>
        <w:rPr>
          <w:rFonts w:ascii="宋体" w:hAnsi="宋体" w:hint="eastAsia"/>
          <w:kern w:val="0"/>
          <w:sz w:val="24"/>
        </w:rPr>
        <w:t>部分：粉末喷涂型材</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 xml:space="preserve">ISO 3574 </w:t>
      </w:r>
      <w:r>
        <w:rPr>
          <w:rFonts w:ascii="宋体" w:hAnsi="宋体" w:hint="eastAsia"/>
          <w:kern w:val="0"/>
          <w:sz w:val="24"/>
        </w:rPr>
        <w:t>商品级和冲压级冷轧碳素钢板</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 xml:space="preserve">ISO 4628-2 </w:t>
      </w:r>
      <w:r>
        <w:rPr>
          <w:rFonts w:ascii="宋体" w:hAnsi="宋体" w:hint="eastAsia"/>
          <w:kern w:val="0"/>
          <w:sz w:val="24"/>
        </w:rPr>
        <w:t>色漆和清漆</w:t>
      </w:r>
      <w:r>
        <w:rPr>
          <w:rFonts w:ascii="宋体" w:hAnsi="宋体" w:hint="eastAsia"/>
          <w:kern w:val="0"/>
          <w:sz w:val="24"/>
        </w:rPr>
        <w:t xml:space="preserve">  </w:t>
      </w:r>
      <w:r>
        <w:rPr>
          <w:rFonts w:ascii="宋体" w:hAnsi="宋体" w:hint="eastAsia"/>
          <w:kern w:val="0"/>
          <w:sz w:val="24"/>
        </w:rPr>
        <w:t>涂层破坏的评定</w:t>
      </w:r>
      <w:r>
        <w:rPr>
          <w:rFonts w:ascii="宋体" w:hAnsi="宋体" w:hint="eastAsia"/>
          <w:kern w:val="0"/>
          <w:sz w:val="24"/>
        </w:rPr>
        <w:t xml:space="preserve">  </w:t>
      </w:r>
      <w:r>
        <w:rPr>
          <w:rFonts w:ascii="宋体" w:hAnsi="宋体" w:hint="eastAsia"/>
          <w:kern w:val="0"/>
          <w:sz w:val="24"/>
        </w:rPr>
        <w:t>一般类型破坏的程度、数量和大小的评定</w:t>
      </w:r>
      <w:r>
        <w:rPr>
          <w:rFonts w:ascii="宋体" w:hAnsi="宋体" w:hint="eastAsia"/>
          <w:kern w:val="0"/>
          <w:sz w:val="24"/>
        </w:rPr>
        <w:t xml:space="preserve">  </w:t>
      </w:r>
      <w:r>
        <w:rPr>
          <w:rFonts w:ascii="宋体" w:hAnsi="宋体" w:hint="eastAsia"/>
          <w:kern w:val="0"/>
          <w:sz w:val="24"/>
        </w:rPr>
        <w:t>第</w:t>
      </w:r>
      <w:r>
        <w:rPr>
          <w:rFonts w:ascii="宋体" w:hAnsi="宋体" w:hint="eastAsia"/>
          <w:kern w:val="0"/>
          <w:sz w:val="24"/>
        </w:rPr>
        <w:t>2</w:t>
      </w:r>
      <w:r>
        <w:rPr>
          <w:rFonts w:ascii="宋体" w:hAnsi="宋体" w:hint="eastAsia"/>
          <w:kern w:val="0"/>
          <w:sz w:val="24"/>
        </w:rPr>
        <w:t>部分：起泡等级的评定</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 xml:space="preserve">ISO 4628-3 </w:t>
      </w:r>
      <w:r>
        <w:rPr>
          <w:rFonts w:ascii="宋体" w:hAnsi="宋体" w:hint="eastAsia"/>
          <w:kern w:val="0"/>
          <w:sz w:val="24"/>
        </w:rPr>
        <w:t>色漆和清漆</w:t>
      </w:r>
      <w:r>
        <w:rPr>
          <w:rFonts w:ascii="宋体" w:hAnsi="宋体" w:hint="eastAsia"/>
          <w:kern w:val="0"/>
          <w:sz w:val="24"/>
        </w:rPr>
        <w:t xml:space="preserve">  </w:t>
      </w:r>
      <w:r>
        <w:rPr>
          <w:rFonts w:ascii="宋体" w:hAnsi="宋体" w:hint="eastAsia"/>
          <w:kern w:val="0"/>
          <w:sz w:val="24"/>
        </w:rPr>
        <w:t>涂层破坏的评定</w:t>
      </w:r>
      <w:r>
        <w:rPr>
          <w:rFonts w:ascii="宋体" w:hAnsi="宋体" w:hint="eastAsia"/>
          <w:kern w:val="0"/>
          <w:sz w:val="24"/>
        </w:rPr>
        <w:t xml:space="preserve">  </w:t>
      </w:r>
      <w:r>
        <w:rPr>
          <w:rFonts w:ascii="宋体" w:hAnsi="宋体" w:hint="eastAsia"/>
          <w:kern w:val="0"/>
          <w:sz w:val="24"/>
        </w:rPr>
        <w:t>一般类型破坏的程度、数量和大小的评定</w:t>
      </w:r>
      <w:r>
        <w:rPr>
          <w:rFonts w:ascii="宋体" w:hAnsi="宋体" w:hint="eastAsia"/>
          <w:kern w:val="0"/>
          <w:sz w:val="24"/>
        </w:rPr>
        <w:t xml:space="preserve">  </w:t>
      </w:r>
      <w:r>
        <w:rPr>
          <w:rFonts w:ascii="宋体" w:hAnsi="宋体" w:hint="eastAsia"/>
          <w:kern w:val="0"/>
          <w:sz w:val="24"/>
        </w:rPr>
        <w:t>第</w:t>
      </w:r>
      <w:r>
        <w:rPr>
          <w:rFonts w:ascii="宋体" w:hAnsi="宋体" w:hint="eastAsia"/>
          <w:kern w:val="0"/>
          <w:sz w:val="24"/>
        </w:rPr>
        <w:t>3</w:t>
      </w:r>
      <w:r>
        <w:rPr>
          <w:rFonts w:ascii="宋体" w:hAnsi="宋体" w:hint="eastAsia"/>
          <w:kern w:val="0"/>
          <w:sz w:val="24"/>
        </w:rPr>
        <w:t>部分：生锈等级的评定</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ISO 46</w:t>
      </w:r>
      <w:r>
        <w:rPr>
          <w:rFonts w:ascii="宋体" w:hAnsi="宋体" w:hint="eastAsia"/>
          <w:kern w:val="0"/>
          <w:sz w:val="24"/>
        </w:rPr>
        <w:t xml:space="preserve">28-4 </w:t>
      </w:r>
      <w:r>
        <w:rPr>
          <w:rFonts w:ascii="宋体" w:hAnsi="宋体" w:hint="eastAsia"/>
          <w:kern w:val="0"/>
          <w:sz w:val="24"/>
        </w:rPr>
        <w:t>色漆和清漆</w:t>
      </w:r>
      <w:r>
        <w:rPr>
          <w:rFonts w:ascii="宋体" w:hAnsi="宋体" w:hint="eastAsia"/>
          <w:kern w:val="0"/>
          <w:sz w:val="24"/>
        </w:rPr>
        <w:t xml:space="preserve">  </w:t>
      </w:r>
      <w:r>
        <w:rPr>
          <w:rFonts w:ascii="宋体" w:hAnsi="宋体" w:hint="eastAsia"/>
          <w:kern w:val="0"/>
          <w:sz w:val="24"/>
        </w:rPr>
        <w:t>涂层破坏的评定</w:t>
      </w:r>
      <w:r>
        <w:rPr>
          <w:rFonts w:ascii="宋体" w:hAnsi="宋体" w:hint="eastAsia"/>
          <w:kern w:val="0"/>
          <w:sz w:val="24"/>
        </w:rPr>
        <w:t xml:space="preserve">  </w:t>
      </w:r>
      <w:r>
        <w:rPr>
          <w:rFonts w:ascii="宋体" w:hAnsi="宋体" w:hint="eastAsia"/>
          <w:kern w:val="0"/>
          <w:sz w:val="24"/>
        </w:rPr>
        <w:t>一般类型破坏的程度、数量和大小的评定</w:t>
      </w:r>
      <w:r>
        <w:rPr>
          <w:rFonts w:ascii="宋体" w:hAnsi="宋体" w:hint="eastAsia"/>
          <w:kern w:val="0"/>
          <w:sz w:val="24"/>
        </w:rPr>
        <w:t xml:space="preserve">  </w:t>
      </w:r>
      <w:r>
        <w:rPr>
          <w:rFonts w:ascii="宋体" w:hAnsi="宋体" w:hint="eastAsia"/>
          <w:kern w:val="0"/>
          <w:sz w:val="24"/>
        </w:rPr>
        <w:t>第</w:t>
      </w:r>
      <w:r>
        <w:rPr>
          <w:rFonts w:ascii="宋体" w:hAnsi="宋体" w:hint="eastAsia"/>
          <w:kern w:val="0"/>
          <w:sz w:val="24"/>
        </w:rPr>
        <w:t>4</w:t>
      </w:r>
      <w:r>
        <w:rPr>
          <w:rFonts w:ascii="宋体" w:hAnsi="宋体" w:hint="eastAsia"/>
          <w:kern w:val="0"/>
          <w:sz w:val="24"/>
        </w:rPr>
        <w:t>部分：开裂等级的评定</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 xml:space="preserve">ISO 4628-5 </w:t>
      </w:r>
      <w:r>
        <w:rPr>
          <w:rFonts w:ascii="宋体" w:hAnsi="宋体" w:hint="eastAsia"/>
          <w:kern w:val="0"/>
          <w:sz w:val="24"/>
        </w:rPr>
        <w:t>色漆和清漆</w:t>
      </w:r>
      <w:r>
        <w:rPr>
          <w:rFonts w:ascii="宋体" w:hAnsi="宋体" w:hint="eastAsia"/>
          <w:kern w:val="0"/>
          <w:sz w:val="24"/>
        </w:rPr>
        <w:t xml:space="preserve">  </w:t>
      </w:r>
      <w:r>
        <w:rPr>
          <w:rFonts w:ascii="宋体" w:hAnsi="宋体" w:hint="eastAsia"/>
          <w:kern w:val="0"/>
          <w:sz w:val="24"/>
        </w:rPr>
        <w:t>涂层破坏的评定</w:t>
      </w:r>
      <w:r>
        <w:rPr>
          <w:rFonts w:ascii="宋体" w:hAnsi="宋体" w:hint="eastAsia"/>
          <w:kern w:val="0"/>
          <w:sz w:val="24"/>
        </w:rPr>
        <w:t xml:space="preserve">  </w:t>
      </w:r>
      <w:r>
        <w:rPr>
          <w:rFonts w:ascii="宋体" w:hAnsi="宋体" w:hint="eastAsia"/>
          <w:kern w:val="0"/>
          <w:sz w:val="24"/>
        </w:rPr>
        <w:t>一般类型破坏的程度、数量和大小的评定</w:t>
      </w:r>
      <w:r>
        <w:rPr>
          <w:rFonts w:ascii="宋体" w:hAnsi="宋体" w:hint="eastAsia"/>
          <w:kern w:val="0"/>
          <w:sz w:val="24"/>
        </w:rPr>
        <w:t xml:space="preserve">  </w:t>
      </w:r>
      <w:r>
        <w:rPr>
          <w:rFonts w:ascii="宋体" w:hAnsi="宋体" w:hint="eastAsia"/>
          <w:kern w:val="0"/>
          <w:sz w:val="24"/>
        </w:rPr>
        <w:t>第</w:t>
      </w:r>
      <w:r>
        <w:rPr>
          <w:rFonts w:ascii="宋体" w:hAnsi="宋体" w:hint="eastAsia"/>
          <w:kern w:val="0"/>
          <w:sz w:val="24"/>
        </w:rPr>
        <w:t>5</w:t>
      </w:r>
      <w:r>
        <w:rPr>
          <w:rFonts w:ascii="宋体" w:hAnsi="宋体" w:hint="eastAsia"/>
          <w:kern w:val="0"/>
          <w:sz w:val="24"/>
        </w:rPr>
        <w:t>部分：脱落等级的评定</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 xml:space="preserve">ISO 4628-6 </w:t>
      </w:r>
      <w:r>
        <w:rPr>
          <w:rFonts w:ascii="宋体" w:hAnsi="宋体" w:hint="eastAsia"/>
          <w:kern w:val="0"/>
          <w:sz w:val="24"/>
        </w:rPr>
        <w:t>色漆和清漆</w:t>
      </w:r>
      <w:r>
        <w:rPr>
          <w:rFonts w:ascii="宋体" w:hAnsi="宋体" w:hint="eastAsia"/>
          <w:kern w:val="0"/>
          <w:sz w:val="24"/>
        </w:rPr>
        <w:t xml:space="preserve">  </w:t>
      </w:r>
      <w:r>
        <w:rPr>
          <w:rFonts w:ascii="宋体" w:hAnsi="宋体" w:hint="eastAsia"/>
          <w:kern w:val="0"/>
          <w:sz w:val="24"/>
        </w:rPr>
        <w:t>涂层破坏的评定</w:t>
      </w:r>
      <w:r>
        <w:rPr>
          <w:rFonts w:ascii="宋体" w:hAnsi="宋体" w:hint="eastAsia"/>
          <w:kern w:val="0"/>
          <w:sz w:val="24"/>
        </w:rPr>
        <w:t xml:space="preserve">  </w:t>
      </w:r>
      <w:r>
        <w:rPr>
          <w:rFonts w:ascii="宋体" w:hAnsi="宋体" w:hint="eastAsia"/>
          <w:kern w:val="0"/>
          <w:sz w:val="24"/>
        </w:rPr>
        <w:t>一般类型破坏的程度、数量和大小的评定</w:t>
      </w:r>
      <w:r>
        <w:rPr>
          <w:rFonts w:ascii="宋体" w:hAnsi="宋体" w:hint="eastAsia"/>
          <w:kern w:val="0"/>
          <w:sz w:val="24"/>
        </w:rPr>
        <w:t xml:space="preserve">  </w:t>
      </w:r>
      <w:r>
        <w:rPr>
          <w:rFonts w:ascii="宋体" w:hAnsi="宋体" w:hint="eastAsia"/>
          <w:kern w:val="0"/>
          <w:sz w:val="24"/>
        </w:rPr>
        <w:t>第</w:t>
      </w:r>
      <w:r>
        <w:rPr>
          <w:rFonts w:ascii="宋体" w:hAnsi="宋体" w:hint="eastAsia"/>
          <w:kern w:val="0"/>
          <w:sz w:val="24"/>
        </w:rPr>
        <w:t>6</w:t>
      </w:r>
      <w:r>
        <w:rPr>
          <w:rFonts w:ascii="宋体" w:hAnsi="宋体" w:hint="eastAsia"/>
          <w:kern w:val="0"/>
          <w:sz w:val="24"/>
        </w:rPr>
        <w:t>部分：胶带法粉化等级的评定</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 xml:space="preserve">ISO 4628-7 </w:t>
      </w:r>
      <w:r>
        <w:rPr>
          <w:rFonts w:ascii="宋体" w:hAnsi="宋体" w:hint="eastAsia"/>
          <w:kern w:val="0"/>
          <w:sz w:val="24"/>
        </w:rPr>
        <w:t>色漆和清漆</w:t>
      </w:r>
      <w:r>
        <w:rPr>
          <w:rFonts w:ascii="宋体" w:hAnsi="宋体" w:hint="eastAsia"/>
          <w:kern w:val="0"/>
          <w:sz w:val="24"/>
        </w:rPr>
        <w:t xml:space="preserve">  </w:t>
      </w:r>
      <w:r>
        <w:rPr>
          <w:rFonts w:ascii="宋体" w:hAnsi="宋体" w:hint="eastAsia"/>
          <w:kern w:val="0"/>
          <w:sz w:val="24"/>
        </w:rPr>
        <w:t>涂层破坏的评定</w:t>
      </w:r>
      <w:r>
        <w:rPr>
          <w:rFonts w:ascii="宋体" w:hAnsi="宋体" w:hint="eastAsia"/>
          <w:kern w:val="0"/>
          <w:sz w:val="24"/>
        </w:rPr>
        <w:t xml:space="preserve">  </w:t>
      </w:r>
      <w:r>
        <w:rPr>
          <w:rFonts w:ascii="宋体" w:hAnsi="宋体" w:hint="eastAsia"/>
          <w:kern w:val="0"/>
          <w:sz w:val="24"/>
        </w:rPr>
        <w:t>一般类型破坏的程度、数量和大小的评定</w:t>
      </w:r>
      <w:r>
        <w:rPr>
          <w:rFonts w:ascii="宋体" w:hAnsi="宋体" w:hint="eastAsia"/>
          <w:kern w:val="0"/>
          <w:sz w:val="24"/>
        </w:rPr>
        <w:t xml:space="preserve">  </w:t>
      </w:r>
      <w:r>
        <w:rPr>
          <w:rFonts w:ascii="宋体" w:hAnsi="宋体" w:hint="eastAsia"/>
          <w:kern w:val="0"/>
          <w:sz w:val="24"/>
        </w:rPr>
        <w:t>第</w:t>
      </w:r>
      <w:r>
        <w:rPr>
          <w:rFonts w:ascii="宋体" w:hAnsi="宋体" w:hint="eastAsia"/>
          <w:kern w:val="0"/>
          <w:sz w:val="24"/>
        </w:rPr>
        <w:t>7</w:t>
      </w:r>
      <w:r>
        <w:rPr>
          <w:rFonts w:ascii="宋体" w:hAnsi="宋体" w:hint="eastAsia"/>
          <w:kern w:val="0"/>
          <w:sz w:val="24"/>
        </w:rPr>
        <w:t>部分：丝绒法粉化等级的评定</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 xml:space="preserve">ISO 4628-8 </w:t>
      </w:r>
      <w:r>
        <w:rPr>
          <w:rFonts w:ascii="宋体" w:hAnsi="宋体" w:hint="eastAsia"/>
          <w:kern w:val="0"/>
          <w:sz w:val="24"/>
        </w:rPr>
        <w:t>色漆和清漆</w:t>
      </w:r>
      <w:r>
        <w:rPr>
          <w:rFonts w:ascii="宋体" w:hAnsi="宋体" w:hint="eastAsia"/>
          <w:kern w:val="0"/>
          <w:sz w:val="24"/>
        </w:rPr>
        <w:t xml:space="preserve">  </w:t>
      </w:r>
      <w:r>
        <w:rPr>
          <w:rFonts w:ascii="宋体" w:hAnsi="宋体" w:hint="eastAsia"/>
          <w:kern w:val="0"/>
          <w:sz w:val="24"/>
        </w:rPr>
        <w:t>涂层破坏的评定</w:t>
      </w:r>
      <w:r>
        <w:rPr>
          <w:rFonts w:ascii="宋体" w:hAnsi="宋体" w:hint="eastAsia"/>
          <w:kern w:val="0"/>
          <w:sz w:val="24"/>
        </w:rPr>
        <w:t xml:space="preserve">  </w:t>
      </w:r>
      <w:r>
        <w:rPr>
          <w:rFonts w:ascii="宋体" w:hAnsi="宋体" w:hint="eastAsia"/>
          <w:kern w:val="0"/>
          <w:sz w:val="24"/>
        </w:rPr>
        <w:t>一般类型破坏的程度、数量和大小的评定</w:t>
      </w:r>
      <w:r>
        <w:rPr>
          <w:rFonts w:ascii="宋体" w:hAnsi="宋体" w:hint="eastAsia"/>
          <w:kern w:val="0"/>
          <w:sz w:val="24"/>
        </w:rPr>
        <w:t xml:space="preserve">  </w:t>
      </w:r>
      <w:r>
        <w:rPr>
          <w:rFonts w:ascii="宋体" w:hAnsi="宋体" w:hint="eastAsia"/>
          <w:kern w:val="0"/>
          <w:sz w:val="24"/>
        </w:rPr>
        <w:t>第</w:t>
      </w:r>
      <w:r>
        <w:rPr>
          <w:rFonts w:ascii="宋体" w:hAnsi="宋体" w:hint="eastAsia"/>
          <w:kern w:val="0"/>
          <w:sz w:val="24"/>
        </w:rPr>
        <w:t>8</w:t>
      </w:r>
      <w:r>
        <w:rPr>
          <w:rFonts w:ascii="宋体" w:hAnsi="宋体" w:hint="eastAsia"/>
          <w:kern w:val="0"/>
          <w:sz w:val="24"/>
        </w:rPr>
        <w:t>部分：划痕层离和腐蚀程度的评定</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 xml:space="preserve">ISO 4628-10 </w:t>
      </w:r>
      <w:r>
        <w:rPr>
          <w:rFonts w:ascii="宋体" w:hAnsi="宋体" w:hint="eastAsia"/>
          <w:kern w:val="0"/>
          <w:sz w:val="24"/>
        </w:rPr>
        <w:t>色漆和清漆</w:t>
      </w:r>
      <w:r>
        <w:rPr>
          <w:rFonts w:ascii="宋体" w:hAnsi="宋体" w:hint="eastAsia"/>
          <w:kern w:val="0"/>
          <w:sz w:val="24"/>
        </w:rPr>
        <w:t xml:space="preserve">  </w:t>
      </w:r>
      <w:r>
        <w:rPr>
          <w:rFonts w:ascii="宋体" w:hAnsi="宋体" w:hint="eastAsia"/>
          <w:kern w:val="0"/>
          <w:sz w:val="24"/>
        </w:rPr>
        <w:t>涂层破坏的评定</w:t>
      </w:r>
      <w:r>
        <w:rPr>
          <w:rFonts w:ascii="宋体" w:hAnsi="宋体" w:hint="eastAsia"/>
          <w:kern w:val="0"/>
          <w:sz w:val="24"/>
        </w:rPr>
        <w:t xml:space="preserve">  </w:t>
      </w:r>
      <w:r>
        <w:rPr>
          <w:rFonts w:ascii="宋体" w:hAnsi="宋体" w:hint="eastAsia"/>
          <w:kern w:val="0"/>
          <w:sz w:val="24"/>
        </w:rPr>
        <w:t>一般类型破坏的程度、数量和大小的评定</w:t>
      </w:r>
      <w:r>
        <w:rPr>
          <w:rFonts w:ascii="宋体" w:hAnsi="宋体" w:hint="eastAsia"/>
          <w:kern w:val="0"/>
          <w:sz w:val="24"/>
        </w:rPr>
        <w:t xml:space="preserve">  </w:t>
      </w:r>
      <w:r>
        <w:rPr>
          <w:rFonts w:ascii="宋体" w:hAnsi="宋体" w:hint="eastAsia"/>
          <w:kern w:val="0"/>
          <w:sz w:val="24"/>
        </w:rPr>
        <w:t>第</w:t>
      </w:r>
      <w:r>
        <w:rPr>
          <w:rFonts w:ascii="宋体" w:hAnsi="宋体" w:hint="eastAsia"/>
          <w:kern w:val="0"/>
          <w:sz w:val="24"/>
        </w:rPr>
        <w:t>10</w:t>
      </w:r>
      <w:r>
        <w:rPr>
          <w:rFonts w:ascii="宋体" w:hAnsi="宋体" w:hint="eastAsia"/>
          <w:kern w:val="0"/>
          <w:sz w:val="24"/>
        </w:rPr>
        <w:t>部分：丝状腐蚀等级评定</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 xml:space="preserve">ISO 8407 </w:t>
      </w:r>
      <w:r>
        <w:rPr>
          <w:rFonts w:ascii="宋体" w:hAnsi="宋体" w:hint="eastAsia"/>
          <w:kern w:val="0"/>
          <w:sz w:val="24"/>
        </w:rPr>
        <w:t>金属和合金的腐蚀</w:t>
      </w:r>
      <w:r>
        <w:rPr>
          <w:rFonts w:ascii="宋体" w:hAnsi="宋体" w:hint="eastAsia"/>
          <w:kern w:val="0"/>
          <w:sz w:val="24"/>
        </w:rPr>
        <w:t xml:space="preserve">  </w:t>
      </w:r>
      <w:r>
        <w:rPr>
          <w:rFonts w:ascii="宋体" w:hAnsi="宋体" w:hint="eastAsia"/>
          <w:kern w:val="0"/>
          <w:sz w:val="24"/>
        </w:rPr>
        <w:t>腐蚀试样中腐蚀产物的清除</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T/CSAE 71-2018</w:t>
      </w:r>
      <w:r>
        <w:rPr>
          <w:rFonts w:ascii="宋体" w:hAnsi="宋体" w:hint="eastAsia"/>
          <w:kern w:val="0"/>
          <w:sz w:val="24"/>
        </w:rPr>
        <w:t xml:space="preserve"> </w:t>
      </w:r>
      <w:r>
        <w:rPr>
          <w:rFonts w:ascii="宋体" w:hAnsi="宋体" w:hint="eastAsia"/>
          <w:kern w:val="0"/>
          <w:sz w:val="24"/>
        </w:rPr>
        <w:t>汽车零部件及材料循环腐蚀试验方法</w:t>
      </w:r>
    </w:p>
    <w:bookmarkEnd w:id="1"/>
    <w:bookmarkEnd w:id="2"/>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通</w:t>
      </w:r>
      <w:r>
        <w:rPr>
          <w:rFonts w:ascii="宋体" w:hAnsi="宋体" w:hint="eastAsia"/>
          <w:kern w:val="0"/>
          <w:sz w:val="24"/>
        </w:rPr>
        <w:t>过大量的对比试验结果，本标准提出的《</w:t>
      </w:r>
      <w:r>
        <w:rPr>
          <w:rFonts w:ascii="宋体" w:hAnsi="宋体" w:hint="eastAsia"/>
          <w:kern w:val="0"/>
          <w:sz w:val="24"/>
        </w:rPr>
        <w:t>汽车车身铝合金板材复合涂层加速腐蚀试验方法</w:t>
      </w:r>
      <w:r>
        <w:rPr>
          <w:rFonts w:ascii="宋体" w:hAnsi="宋体" w:hint="eastAsia"/>
          <w:kern w:val="0"/>
          <w:sz w:val="24"/>
        </w:rPr>
        <w:t>》</w:t>
      </w:r>
      <w:r>
        <w:rPr>
          <w:rFonts w:ascii="宋体" w:hAnsi="宋体"/>
          <w:kern w:val="0"/>
          <w:sz w:val="24"/>
        </w:rPr>
        <w:t>有一定的先进性、通用性、科学性和可操作性。</w:t>
      </w:r>
    </w:p>
    <w:p w:rsidR="00EE080D" w:rsidRDefault="00EE080D">
      <w:pPr>
        <w:widowControl/>
        <w:spacing w:line="360" w:lineRule="auto"/>
        <w:ind w:firstLineChars="200" w:firstLine="480"/>
        <w:jc w:val="left"/>
        <w:rPr>
          <w:rFonts w:ascii="宋体" w:hAnsi="宋体"/>
          <w:kern w:val="0"/>
          <w:sz w:val="24"/>
        </w:rPr>
      </w:pPr>
    </w:p>
    <w:p w:rsidR="00EE080D" w:rsidRDefault="00C04E08">
      <w:pPr>
        <w:spacing w:line="360" w:lineRule="auto"/>
        <w:rPr>
          <w:rFonts w:ascii="宋体" w:hAnsi="宋体"/>
          <w:b/>
          <w:szCs w:val="21"/>
        </w:rPr>
      </w:pPr>
      <w:r>
        <w:rPr>
          <w:rFonts w:ascii="宋体" w:hAnsi="宋体" w:hint="eastAsia"/>
          <w:b/>
          <w:szCs w:val="21"/>
        </w:rPr>
        <w:t>三</w:t>
      </w:r>
      <w:r>
        <w:rPr>
          <w:rFonts w:ascii="宋体" w:hAnsi="宋体"/>
          <w:b/>
          <w:szCs w:val="21"/>
        </w:rPr>
        <w:t>、</w:t>
      </w:r>
      <w:r>
        <w:rPr>
          <w:rFonts w:ascii="宋体" w:hAnsi="宋体" w:hint="eastAsia"/>
          <w:b/>
          <w:szCs w:val="21"/>
        </w:rPr>
        <w:t>主要试验（或验证）情况分析</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标准</w:t>
      </w:r>
      <w:r>
        <w:rPr>
          <w:rFonts w:ascii="宋体" w:hAnsi="宋体"/>
          <w:kern w:val="0"/>
          <w:sz w:val="24"/>
        </w:rPr>
        <w:t>工作</w:t>
      </w:r>
      <w:r>
        <w:rPr>
          <w:rFonts w:ascii="宋体" w:hAnsi="宋体" w:hint="eastAsia"/>
          <w:kern w:val="0"/>
          <w:sz w:val="24"/>
        </w:rPr>
        <w:t>组</w:t>
      </w:r>
      <w:r>
        <w:rPr>
          <w:rFonts w:ascii="宋体" w:hAnsi="宋体" w:hint="eastAsia"/>
          <w:kern w:val="0"/>
          <w:sz w:val="24"/>
        </w:rPr>
        <w:t>主要进行了四种</w:t>
      </w:r>
      <w:r>
        <w:rPr>
          <w:rFonts w:ascii="宋体" w:hAnsi="宋体" w:hint="eastAsia"/>
          <w:kern w:val="0"/>
          <w:sz w:val="24"/>
        </w:rPr>
        <w:t>实验室</w:t>
      </w:r>
      <w:r>
        <w:rPr>
          <w:rFonts w:ascii="宋体" w:hAnsi="宋体" w:hint="eastAsia"/>
          <w:kern w:val="0"/>
          <w:sz w:val="24"/>
        </w:rPr>
        <w:t>加速腐蚀试验</w:t>
      </w:r>
      <w:r>
        <w:rPr>
          <w:rFonts w:ascii="宋体" w:hAnsi="宋体" w:hint="eastAsia"/>
          <w:kern w:val="0"/>
          <w:sz w:val="24"/>
        </w:rPr>
        <w:t>AASS</w:t>
      </w:r>
      <w:r>
        <w:rPr>
          <w:rFonts w:ascii="宋体" w:hAnsi="宋体" w:hint="eastAsia"/>
          <w:kern w:val="0"/>
          <w:sz w:val="24"/>
        </w:rPr>
        <w:t>、</w:t>
      </w:r>
      <w:r>
        <w:rPr>
          <w:rFonts w:ascii="宋体" w:hAnsi="宋体" w:hint="eastAsia"/>
          <w:kern w:val="0"/>
          <w:sz w:val="24"/>
        </w:rPr>
        <w:t>CASS</w:t>
      </w:r>
      <w:r>
        <w:rPr>
          <w:rFonts w:ascii="宋体" w:hAnsi="宋体" w:hint="eastAsia"/>
          <w:kern w:val="0"/>
          <w:sz w:val="24"/>
        </w:rPr>
        <w:t>、</w:t>
      </w:r>
      <w:r>
        <w:rPr>
          <w:rFonts w:ascii="宋体" w:hAnsi="宋体" w:hint="eastAsia"/>
          <w:kern w:val="0"/>
          <w:sz w:val="24"/>
        </w:rPr>
        <w:t>FILIFORM</w:t>
      </w:r>
      <w:r>
        <w:rPr>
          <w:rFonts w:ascii="宋体" w:hAnsi="宋体" w:hint="eastAsia"/>
          <w:kern w:val="0"/>
          <w:sz w:val="24"/>
        </w:rPr>
        <w:t>、</w:t>
      </w:r>
      <w:r>
        <w:rPr>
          <w:rFonts w:ascii="宋体" w:hAnsi="宋体" w:hint="eastAsia"/>
          <w:kern w:val="0"/>
          <w:sz w:val="24"/>
        </w:rPr>
        <w:t>CATCH</w:t>
      </w:r>
      <w:r>
        <w:rPr>
          <w:rFonts w:ascii="宋体" w:hAnsi="宋体" w:hint="eastAsia"/>
          <w:kern w:val="0"/>
          <w:sz w:val="24"/>
        </w:rPr>
        <w:t>以及</w:t>
      </w:r>
      <w:r>
        <w:rPr>
          <w:rFonts w:ascii="宋体" w:hAnsi="宋体" w:hint="eastAsia"/>
          <w:kern w:val="0"/>
          <w:sz w:val="24"/>
        </w:rPr>
        <w:t>户外整车道路强化腐蚀试验，对试验结果进行了整理汇总和分析，并通过最大单边扩蚀宽度以及腐蚀面积两项评价指标进行评价，得出以下结论：</w:t>
      </w:r>
    </w:p>
    <w:p w:rsidR="00EE080D" w:rsidRDefault="00C04E08">
      <w:pPr>
        <w:widowControl/>
        <w:spacing w:line="360" w:lineRule="auto"/>
        <w:jc w:val="left"/>
        <w:rPr>
          <w:rFonts w:ascii="宋体" w:hAnsi="宋体"/>
          <w:kern w:val="0"/>
          <w:sz w:val="24"/>
        </w:rPr>
      </w:pPr>
      <w:r>
        <w:rPr>
          <w:rFonts w:ascii="宋体" w:hAnsi="宋体" w:hint="eastAsia"/>
          <w:kern w:val="0"/>
          <w:sz w:val="24"/>
        </w:rPr>
        <w:t>1</w:t>
      </w:r>
      <w:r>
        <w:rPr>
          <w:rFonts w:ascii="宋体" w:hAnsi="宋体" w:hint="eastAsia"/>
          <w:kern w:val="0"/>
          <w:sz w:val="24"/>
        </w:rPr>
        <w:t>、最大单边扩蚀宽度</w:t>
      </w:r>
    </w:p>
    <w:p w:rsidR="00EE080D" w:rsidRDefault="00C04E08">
      <w:pPr>
        <w:widowControl/>
        <w:spacing w:line="360" w:lineRule="auto"/>
        <w:jc w:val="left"/>
        <w:rPr>
          <w:rFonts w:ascii="宋体" w:hAnsi="宋体"/>
          <w:kern w:val="0"/>
          <w:sz w:val="24"/>
        </w:rPr>
      </w:pPr>
      <w:r>
        <w:rPr>
          <w:rFonts w:ascii="宋体" w:hAnsi="宋体" w:hint="eastAsia"/>
          <w:kern w:val="0"/>
          <w:sz w:val="24"/>
        </w:rPr>
        <w:lastRenderedPageBreak/>
        <w:t xml:space="preserve">    1.1 </w:t>
      </w:r>
      <w:r>
        <w:rPr>
          <w:rFonts w:ascii="宋体" w:hAnsi="宋体" w:hint="eastAsia"/>
          <w:kern w:val="0"/>
          <w:sz w:val="24"/>
        </w:rPr>
        <w:t>从</w:t>
      </w:r>
      <w:r>
        <w:rPr>
          <w:rFonts w:ascii="宋体" w:hAnsi="宋体" w:hint="eastAsia"/>
          <w:kern w:val="0"/>
          <w:sz w:val="24"/>
        </w:rPr>
        <w:t>4</w:t>
      </w:r>
      <w:r>
        <w:rPr>
          <w:rFonts w:ascii="宋体" w:hAnsi="宋体" w:hint="eastAsia"/>
          <w:kern w:val="0"/>
          <w:sz w:val="24"/>
        </w:rPr>
        <w:t>个实验室实验舱加速腐蚀试验的结果来看见表</w:t>
      </w:r>
      <w:r>
        <w:rPr>
          <w:rFonts w:ascii="宋体" w:hAnsi="宋体" w:hint="eastAsia"/>
          <w:kern w:val="0"/>
          <w:sz w:val="24"/>
        </w:rPr>
        <w:t>3</w:t>
      </w:r>
      <w:r>
        <w:rPr>
          <w:rFonts w:ascii="宋体" w:hAnsi="宋体" w:hint="eastAsia"/>
          <w:kern w:val="0"/>
          <w:sz w:val="24"/>
        </w:rPr>
        <w:t>，</w:t>
      </w:r>
      <w:r>
        <w:rPr>
          <w:rFonts w:ascii="宋体" w:hAnsi="宋体" w:hint="eastAsia"/>
          <w:kern w:val="0"/>
          <w:sz w:val="24"/>
        </w:rPr>
        <w:t>24</w:t>
      </w:r>
      <w:r>
        <w:rPr>
          <w:rFonts w:ascii="宋体" w:hAnsi="宋体" w:hint="eastAsia"/>
          <w:kern w:val="0"/>
          <w:sz w:val="24"/>
        </w:rPr>
        <w:t>种试板的最大单边扩蚀宽度总计的顺序为：</w:t>
      </w:r>
      <w:r>
        <w:rPr>
          <w:rFonts w:ascii="宋体" w:hAnsi="宋体" w:hint="eastAsia"/>
          <w:kern w:val="0"/>
          <w:sz w:val="24"/>
        </w:rPr>
        <w:t>CASS</w:t>
      </w:r>
      <w:r>
        <w:rPr>
          <w:rFonts w:ascii="宋体" w:hAnsi="宋体" w:hint="eastAsia"/>
          <w:kern w:val="0"/>
          <w:sz w:val="24"/>
        </w:rPr>
        <w:t>（</w:t>
      </w:r>
      <w:r>
        <w:rPr>
          <w:rFonts w:ascii="宋体" w:hAnsi="宋体" w:hint="eastAsia"/>
          <w:kern w:val="0"/>
          <w:sz w:val="24"/>
        </w:rPr>
        <w:t>240h</w:t>
      </w:r>
      <w:r>
        <w:rPr>
          <w:rFonts w:ascii="宋体" w:hAnsi="宋体" w:hint="eastAsia"/>
          <w:kern w:val="0"/>
          <w:sz w:val="24"/>
        </w:rPr>
        <w:t>）＞</w:t>
      </w:r>
      <w:r>
        <w:rPr>
          <w:rFonts w:ascii="宋体" w:hAnsi="宋体" w:hint="eastAsia"/>
          <w:kern w:val="0"/>
          <w:sz w:val="24"/>
        </w:rPr>
        <w:t>filiform</w:t>
      </w:r>
      <w:r>
        <w:rPr>
          <w:rFonts w:ascii="宋体" w:hAnsi="宋体" w:hint="eastAsia"/>
          <w:kern w:val="0"/>
          <w:sz w:val="24"/>
        </w:rPr>
        <w:t>（</w:t>
      </w:r>
      <w:r>
        <w:rPr>
          <w:rFonts w:ascii="宋体" w:hAnsi="宋体" w:hint="eastAsia"/>
          <w:kern w:val="0"/>
          <w:sz w:val="24"/>
        </w:rPr>
        <w:t>678h</w:t>
      </w:r>
      <w:r>
        <w:rPr>
          <w:rFonts w:ascii="宋体" w:hAnsi="宋体" w:hint="eastAsia"/>
          <w:kern w:val="0"/>
          <w:sz w:val="24"/>
        </w:rPr>
        <w:t>，北奔的试验舱试验过程中没有控制风速，导致数据偏大）＞</w:t>
      </w:r>
      <w:r>
        <w:rPr>
          <w:rFonts w:ascii="宋体" w:hAnsi="宋体" w:hint="eastAsia"/>
          <w:kern w:val="0"/>
          <w:sz w:val="24"/>
        </w:rPr>
        <w:t>AASS</w:t>
      </w:r>
      <w:r>
        <w:rPr>
          <w:rFonts w:ascii="宋体" w:hAnsi="宋体" w:hint="eastAsia"/>
          <w:kern w:val="0"/>
          <w:sz w:val="24"/>
        </w:rPr>
        <w:t>＞</w:t>
      </w:r>
      <w:r>
        <w:rPr>
          <w:rFonts w:ascii="宋体" w:hAnsi="宋体" w:hint="eastAsia"/>
          <w:kern w:val="0"/>
          <w:sz w:val="24"/>
        </w:rPr>
        <w:t>CATCH</w:t>
      </w:r>
      <w:r>
        <w:rPr>
          <w:rFonts w:ascii="宋体" w:hAnsi="宋体" w:hint="eastAsia"/>
          <w:kern w:val="0"/>
          <w:sz w:val="24"/>
        </w:rPr>
        <w:t>。</w:t>
      </w:r>
    </w:p>
    <w:p w:rsidR="00EE080D" w:rsidRDefault="00C04E08">
      <w:pPr>
        <w:widowControl/>
        <w:spacing w:line="360" w:lineRule="auto"/>
        <w:jc w:val="left"/>
        <w:rPr>
          <w:rFonts w:ascii="宋体" w:hAnsi="宋体"/>
          <w:kern w:val="0"/>
          <w:sz w:val="24"/>
        </w:rPr>
      </w:pPr>
      <w:r>
        <w:rPr>
          <w:rFonts w:ascii="宋体" w:hAnsi="宋体" w:hint="eastAsia"/>
          <w:kern w:val="0"/>
          <w:sz w:val="24"/>
        </w:rPr>
        <w:t xml:space="preserve">    1.2</w:t>
      </w:r>
      <w:r>
        <w:rPr>
          <w:rFonts w:ascii="宋体" w:hAnsi="宋体" w:hint="eastAsia"/>
          <w:kern w:val="0"/>
          <w:sz w:val="24"/>
        </w:rPr>
        <w:t>从实验室试验与户外整</w:t>
      </w:r>
      <w:r>
        <w:rPr>
          <w:rFonts w:ascii="宋体" w:hAnsi="宋体" w:hint="eastAsia"/>
          <w:kern w:val="0"/>
          <w:sz w:val="24"/>
        </w:rPr>
        <w:t>车道路试验的数据对比来看，威凯</w:t>
      </w:r>
      <w:r>
        <w:rPr>
          <w:rFonts w:ascii="宋体" w:hAnsi="宋体" w:hint="eastAsia"/>
          <w:kern w:val="0"/>
          <w:sz w:val="24"/>
        </w:rPr>
        <w:t>CATCH</w:t>
      </w:r>
      <w:r>
        <w:rPr>
          <w:rFonts w:ascii="宋体" w:hAnsi="宋体" w:hint="eastAsia"/>
          <w:kern w:val="0"/>
          <w:sz w:val="24"/>
        </w:rPr>
        <w:t>试验数据与海南试验数据最接近，相关性最好。</w:t>
      </w:r>
    </w:p>
    <w:p w:rsidR="00EE080D" w:rsidRDefault="00C04E08">
      <w:pPr>
        <w:widowControl/>
        <w:numPr>
          <w:ilvl w:val="0"/>
          <w:numId w:val="1"/>
        </w:numPr>
        <w:spacing w:line="360" w:lineRule="auto"/>
        <w:jc w:val="left"/>
        <w:rPr>
          <w:rFonts w:ascii="宋体" w:hAnsi="宋体"/>
          <w:kern w:val="0"/>
          <w:sz w:val="24"/>
        </w:rPr>
      </w:pPr>
      <w:r>
        <w:rPr>
          <w:rFonts w:ascii="宋体" w:hAnsi="宋体" w:hint="eastAsia"/>
          <w:kern w:val="0"/>
          <w:sz w:val="24"/>
        </w:rPr>
        <w:t>腐蚀面积</w:t>
      </w:r>
    </w:p>
    <w:p w:rsidR="00EE080D" w:rsidRDefault="00C04E08">
      <w:pPr>
        <w:widowControl/>
        <w:spacing w:line="360" w:lineRule="auto"/>
        <w:jc w:val="left"/>
        <w:rPr>
          <w:rFonts w:ascii="宋体" w:hAnsi="宋体"/>
          <w:kern w:val="0"/>
          <w:sz w:val="24"/>
        </w:rPr>
      </w:pPr>
      <w:r>
        <w:rPr>
          <w:rFonts w:ascii="宋体" w:hAnsi="宋体" w:hint="eastAsia"/>
          <w:kern w:val="0"/>
          <w:sz w:val="24"/>
        </w:rPr>
        <w:t xml:space="preserve">    2.1 </w:t>
      </w:r>
      <w:r>
        <w:rPr>
          <w:rFonts w:ascii="宋体" w:hAnsi="宋体" w:hint="eastAsia"/>
          <w:kern w:val="0"/>
          <w:sz w:val="24"/>
        </w:rPr>
        <w:t>从</w:t>
      </w:r>
      <w:r>
        <w:rPr>
          <w:rFonts w:ascii="宋体" w:hAnsi="宋体" w:hint="eastAsia"/>
          <w:kern w:val="0"/>
          <w:sz w:val="24"/>
        </w:rPr>
        <w:t>4</w:t>
      </w:r>
      <w:r>
        <w:rPr>
          <w:rFonts w:ascii="宋体" w:hAnsi="宋体" w:hint="eastAsia"/>
          <w:kern w:val="0"/>
          <w:sz w:val="24"/>
        </w:rPr>
        <w:t>个户内实验舱加速腐蚀试验的结果来看，见表</w:t>
      </w:r>
      <w:r>
        <w:rPr>
          <w:rFonts w:ascii="宋体" w:hAnsi="宋体" w:hint="eastAsia"/>
          <w:kern w:val="0"/>
          <w:sz w:val="24"/>
        </w:rPr>
        <w:t>4</w:t>
      </w:r>
      <w:r>
        <w:rPr>
          <w:rFonts w:ascii="宋体" w:hAnsi="宋体" w:hint="eastAsia"/>
          <w:kern w:val="0"/>
          <w:sz w:val="24"/>
        </w:rPr>
        <w:t>，</w:t>
      </w:r>
      <w:r>
        <w:rPr>
          <w:rFonts w:ascii="宋体" w:hAnsi="宋体" w:hint="eastAsia"/>
          <w:kern w:val="0"/>
          <w:sz w:val="24"/>
        </w:rPr>
        <w:t>24</w:t>
      </w:r>
      <w:r>
        <w:rPr>
          <w:rFonts w:ascii="宋体" w:hAnsi="宋体" w:hint="eastAsia"/>
          <w:kern w:val="0"/>
          <w:sz w:val="24"/>
        </w:rPr>
        <w:t>块试板的平均腐蚀面积总计的顺序为：</w:t>
      </w:r>
      <w:r>
        <w:rPr>
          <w:rFonts w:ascii="宋体" w:hAnsi="宋体" w:hint="eastAsia"/>
          <w:kern w:val="0"/>
          <w:sz w:val="24"/>
        </w:rPr>
        <w:t>CASS</w:t>
      </w:r>
      <w:r>
        <w:rPr>
          <w:rFonts w:ascii="宋体" w:hAnsi="宋体" w:hint="eastAsia"/>
          <w:kern w:val="0"/>
          <w:sz w:val="24"/>
        </w:rPr>
        <w:t>（</w:t>
      </w:r>
      <w:r>
        <w:rPr>
          <w:rFonts w:ascii="宋体" w:hAnsi="宋体" w:hint="eastAsia"/>
          <w:kern w:val="0"/>
          <w:sz w:val="24"/>
        </w:rPr>
        <w:t>240h</w:t>
      </w:r>
      <w:r>
        <w:rPr>
          <w:rFonts w:ascii="宋体" w:hAnsi="宋体" w:hint="eastAsia"/>
          <w:kern w:val="0"/>
          <w:sz w:val="24"/>
        </w:rPr>
        <w:t>）＞</w:t>
      </w:r>
      <w:r>
        <w:rPr>
          <w:rFonts w:ascii="宋体" w:hAnsi="宋体" w:hint="eastAsia"/>
          <w:kern w:val="0"/>
          <w:sz w:val="24"/>
        </w:rPr>
        <w:t>filiform</w:t>
      </w:r>
      <w:r>
        <w:rPr>
          <w:rFonts w:ascii="宋体" w:hAnsi="宋体" w:hint="eastAsia"/>
          <w:kern w:val="0"/>
          <w:sz w:val="24"/>
        </w:rPr>
        <w:t>（</w:t>
      </w:r>
      <w:r>
        <w:rPr>
          <w:rFonts w:ascii="宋体" w:hAnsi="宋体" w:hint="eastAsia"/>
          <w:kern w:val="0"/>
          <w:sz w:val="24"/>
        </w:rPr>
        <w:t>678h</w:t>
      </w:r>
      <w:r>
        <w:rPr>
          <w:rFonts w:ascii="宋体" w:hAnsi="宋体" w:hint="eastAsia"/>
          <w:kern w:val="0"/>
          <w:sz w:val="24"/>
        </w:rPr>
        <w:t>，北奔的的试验舱试验过程中没有控制风速，导致数据偏大）＞</w:t>
      </w:r>
      <w:r>
        <w:rPr>
          <w:rFonts w:ascii="宋体" w:hAnsi="宋体" w:hint="eastAsia"/>
          <w:kern w:val="0"/>
          <w:sz w:val="24"/>
        </w:rPr>
        <w:t>AASS</w:t>
      </w:r>
      <w:r>
        <w:rPr>
          <w:rFonts w:ascii="宋体" w:hAnsi="宋体" w:hint="eastAsia"/>
          <w:kern w:val="0"/>
          <w:sz w:val="24"/>
        </w:rPr>
        <w:t>＞</w:t>
      </w:r>
      <w:r>
        <w:rPr>
          <w:rFonts w:ascii="宋体" w:hAnsi="宋体" w:hint="eastAsia"/>
          <w:kern w:val="0"/>
          <w:sz w:val="24"/>
        </w:rPr>
        <w:t>CATCH</w:t>
      </w:r>
      <w:r>
        <w:rPr>
          <w:rFonts w:ascii="宋体" w:hAnsi="宋体" w:hint="eastAsia"/>
          <w:kern w:val="0"/>
          <w:sz w:val="24"/>
        </w:rPr>
        <w:t>。</w:t>
      </w:r>
    </w:p>
    <w:p w:rsidR="00EE080D" w:rsidRDefault="00C04E08">
      <w:pPr>
        <w:widowControl/>
        <w:spacing w:line="360" w:lineRule="auto"/>
        <w:jc w:val="left"/>
        <w:rPr>
          <w:rFonts w:ascii="宋体" w:hAnsi="宋体"/>
          <w:kern w:val="0"/>
          <w:sz w:val="24"/>
        </w:rPr>
      </w:pPr>
      <w:r>
        <w:rPr>
          <w:rFonts w:ascii="宋体" w:hAnsi="宋体" w:hint="eastAsia"/>
          <w:kern w:val="0"/>
          <w:sz w:val="24"/>
        </w:rPr>
        <w:t xml:space="preserve">    2.2</w:t>
      </w:r>
      <w:r>
        <w:rPr>
          <w:rFonts w:ascii="宋体" w:hAnsi="宋体" w:hint="eastAsia"/>
          <w:kern w:val="0"/>
          <w:sz w:val="24"/>
        </w:rPr>
        <w:t>从户内试验与户外整车道路试验的数据对比来看，威凯</w:t>
      </w:r>
      <w:r>
        <w:rPr>
          <w:rFonts w:ascii="宋体" w:hAnsi="宋体" w:hint="eastAsia"/>
          <w:kern w:val="0"/>
          <w:sz w:val="24"/>
        </w:rPr>
        <w:t>CATCH</w:t>
      </w:r>
      <w:r>
        <w:rPr>
          <w:rFonts w:ascii="宋体" w:hAnsi="宋体" w:hint="eastAsia"/>
          <w:kern w:val="0"/>
          <w:sz w:val="24"/>
        </w:rPr>
        <w:t>试验数据与海南试验数据最接近，相关性最好。</w:t>
      </w:r>
    </w:p>
    <w:p w:rsidR="00EE080D" w:rsidRDefault="00C04E08">
      <w:pPr>
        <w:widowControl/>
        <w:numPr>
          <w:ilvl w:val="0"/>
          <w:numId w:val="2"/>
        </w:numPr>
        <w:spacing w:line="360" w:lineRule="auto"/>
        <w:jc w:val="left"/>
        <w:rPr>
          <w:rFonts w:ascii="宋体" w:hAnsi="宋体"/>
          <w:kern w:val="0"/>
          <w:sz w:val="24"/>
        </w:rPr>
      </w:pPr>
      <w:r>
        <w:rPr>
          <w:rFonts w:ascii="宋体" w:hAnsi="宋体" w:hint="eastAsia"/>
          <w:kern w:val="0"/>
          <w:sz w:val="24"/>
        </w:rPr>
        <w:t>试验结论</w:t>
      </w:r>
    </w:p>
    <w:p w:rsidR="00EE080D" w:rsidRDefault="00C04E08">
      <w:pPr>
        <w:widowControl/>
        <w:spacing w:line="360" w:lineRule="auto"/>
        <w:ind w:firstLine="480"/>
        <w:jc w:val="left"/>
        <w:rPr>
          <w:rFonts w:ascii="宋体" w:hAnsi="宋体"/>
          <w:kern w:val="0"/>
          <w:sz w:val="24"/>
        </w:rPr>
      </w:pPr>
      <w:r>
        <w:rPr>
          <w:rFonts w:ascii="宋体" w:hAnsi="宋体" w:hint="eastAsia"/>
          <w:kern w:val="0"/>
          <w:sz w:val="24"/>
        </w:rPr>
        <w:t>从试验的结论来看，</w:t>
      </w:r>
      <w:r>
        <w:rPr>
          <w:rFonts w:ascii="宋体" w:hAnsi="宋体" w:hint="eastAsia"/>
          <w:kern w:val="0"/>
          <w:sz w:val="24"/>
        </w:rPr>
        <w:t>CATCH</w:t>
      </w:r>
      <w:r>
        <w:rPr>
          <w:rFonts w:ascii="宋体" w:hAnsi="宋体" w:hint="eastAsia"/>
          <w:kern w:val="0"/>
          <w:sz w:val="24"/>
        </w:rPr>
        <w:t>试验的试验结果无论是单边最大扩蚀宽度还是扩蚀面积都与整车道路强化腐蚀试验的结果最接近，相关性最好，实验数据见下表</w:t>
      </w:r>
      <w:r>
        <w:rPr>
          <w:rFonts w:ascii="宋体" w:hAnsi="宋体" w:hint="eastAsia"/>
          <w:kern w:val="0"/>
          <w:sz w:val="24"/>
        </w:rPr>
        <w:t>3</w:t>
      </w:r>
      <w:r>
        <w:rPr>
          <w:rFonts w:ascii="宋体" w:hAnsi="宋体" w:hint="eastAsia"/>
          <w:kern w:val="0"/>
          <w:sz w:val="24"/>
        </w:rPr>
        <w:t>、表</w:t>
      </w:r>
      <w:r>
        <w:rPr>
          <w:rFonts w:ascii="宋体" w:hAnsi="宋体" w:hint="eastAsia"/>
          <w:kern w:val="0"/>
          <w:sz w:val="24"/>
        </w:rPr>
        <w:t>4</w:t>
      </w:r>
      <w:r>
        <w:rPr>
          <w:rFonts w:ascii="宋体" w:hAnsi="宋体" w:hint="eastAsia"/>
          <w:kern w:val="0"/>
          <w:sz w:val="24"/>
        </w:rPr>
        <w:t>所示。</w:t>
      </w:r>
    </w:p>
    <w:p w:rsidR="00EE080D" w:rsidRDefault="00C04E08">
      <w:pPr>
        <w:widowControl/>
        <w:spacing w:line="360" w:lineRule="auto"/>
        <w:jc w:val="center"/>
        <w:rPr>
          <w:rFonts w:ascii="宋体" w:hAnsi="宋体"/>
          <w:kern w:val="0"/>
          <w:sz w:val="24"/>
        </w:rPr>
      </w:pPr>
      <w:r>
        <w:rPr>
          <w:rFonts w:ascii="宋体" w:hAnsi="宋体" w:hint="eastAsia"/>
          <w:kern w:val="0"/>
          <w:sz w:val="24"/>
        </w:rPr>
        <w:t>表</w:t>
      </w:r>
      <w:r>
        <w:rPr>
          <w:rFonts w:ascii="宋体" w:hAnsi="宋体" w:hint="eastAsia"/>
          <w:kern w:val="0"/>
          <w:sz w:val="24"/>
        </w:rPr>
        <w:t xml:space="preserve">3 </w:t>
      </w:r>
      <w:r>
        <w:rPr>
          <w:rFonts w:ascii="宋体" w:hAnsi="宋体" w:hint="eastAsia"/>
          <w:kern w:val="0"/>
          <w:sz w:val="24"/>
        </w:rPr>
        <w:t>各试验最大单边扩蚀总计对比</w:t>
      </w:r>
      <w:r>
        <w:rPr>
          <w:rFonts w:ascii="宋体" w:hAnsi="宋体" w:hint="eastAsia"/>
          <w:kern w:val="0"/>
          <w:sz w:val="24"/>
        </w:rPr>
        <w:t>表</w:t>
      </w:r>
    </w:p>
    <w:p w:rsidR="00EE080D" w:rsidRDefault="00C04E08">
      <w:pPr>
        <w:widowControl/>
        <w:spacing w:line="360" w:lineRule="auto"/>
        <w:ind w:firstLineChars="200" w:firstLine="420"/>
        <w:jc w:val="left"/>
        <w:rPr>
          <w:rFonts w:ascii="宋体" w:hAnsi="宋体"/>
          <w:kern w:val="0"/>
          <w:sz w:val="24"/>
        </w:rPr>
      </w:pPr>
      <w:r>
        <w:rPr>
          <w:noProof/>
        </w:rPr>
        <w:drawing>
          <wp:anchor distT="0" distB="0" distL="114300" distR="114300" simplePos="0" relativeHeight="251658240" behindDoc="0" locked="0" layoutInCell="1" allowOverlap="1">
            <wp:simplePos x="0" y="0"/>
            <wp:positionH relativeFrom="column">
              <wp:posOffset>38100</wp:posOffset>
            </wp:positionH>
            <wp:positionV relativeFrom="paragraph">
              <wp:posOffset>61595</wp:posOffset>
            </wp:positionV>
            <wp:extent cx="5404485" cy="4092575"/>
            <wp:effectExtent l="9525" t="9525" r="15240" b="12700"/>
            <wp:wrapNone/>
            <wp:docPr id="45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图片 1"/>
                    <pic:cNvPicPr>
                      <a:picLocks noChangeAspect="1"/>
                    </pic:cNvPicPr>
                  </pic:nvPicPr>
                  <pic:blipFill>
                    <a:blip r:embed="rId9"/>
                    <a:stretch>
                      <a:fillRect/>
                    </a:stretch>
                  </pic:blipFill>
                  <pic:spPr>
                    <a:xfrm>
                      <a:off x="0" y="0"/>
                      <a:ext cx="5404485" cy="4092575"/>
                    </a:xfrm>
                    <a:prstGeom prst="rect">
                      <a:avLst/>
                    </a:prstGeom>
                    <a:noFill/>
                    <a:ln w="9525" cap="flat" cmpd="sng">
                      <a:solidFill>
                        <a:schemeClr val="tx1"/>
                      </a:solidFill>
                      <a:prstDash val="solid"/>
                      <a:round/>
                      <a:headEnd type="none" w="med" len="med"/>
                      <a:tailEnd type="none" w="med" len="med"/>
                    </a:ln>
                  </pic:spPr>
                </pic:pic>
              </a:graphicData>
            </a:graphic>
          </wp:anchor>
        </w:drawing>
      </w: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rPr>
          <w:rFonts w:ascii="宋体" w:hAnsi="宋体"/>
          <w:kern w:val="0"/>
          <w:sz w:val="24"/>
        </w:rPr>
      </w:pPr>
    </w:p>
    <w:p w:rsidR="00EE080D" w:rsidRDefault="00C04E08">
      <w:pPr>
        <w:widowControl/>
        <w:spacing w:line="360" w:lineRule="auto"/>
        <w:jc w:val="center"/>
        <w:rPr>
          <w:rFonts w:ascii="宋体" w:hAnsi="宋体"/>
          <w:kern w:val="0"/>
          <w:sz w:val="24"/>
        </w:rPr>
      </w:pPr>
      <w:r>
        <w:rPr>
          <w:rFonts w:ascii="宋体" w:hAnsi="宋体" w:hint="eastAsia"/>
          <w:kern w:val="0"/>
          <w:sz w:val="24"/>
        </w:rPr>
        <w:lastRenderedPageBreak/>
        <w:t>表</w:t>
      </w:r>
      <w:r>
        <w:rPr>
          <w:rFonts w:ascii="宋体" w:hAnsi="宋体" w:hint="eastAsia"/>
          <w:kern w:val="0"/>
          <w:sz w:val="24"/>
        </w:rPr>
        <w:t xml:space="preserve">4 </w:t>
      </w:r>
      <w:r>
        <w:rPr>
          <w:rFonts w:ascii="宋体" w:hAnsi="宋体" w:hint="eastAsia"/>
          <w:kern w:val="0"/>
          <w:sz w:val="24"/>
        </w:rPr>
        <w:t>各试验</w:t>
      </w:r>
      <w:r>
        <w:rPr>
          <w:rFonts w:ascii="宋体" w:hAnsi="宋体" w:hint="eastAsia"/>
          <w:kern w:val="0"/>
          <w:sz w:val="24"/>
        </w:rPr>
        <w:t>平均扩蚀面积</w:t>
      </w:r>
      <w:r>
        <w:rPr>
          <w:rFonts w:ascii="宋体" w:hAnsi="宋体" w:hint="eastAsia"/>
          <w:kern w:val="0"/>
          <w:sz w:val="24"/>
        </w:rPr>
        <w:t>总计对比</w:t>
      </w:r>
      <w:r>
        <w:rPr>
          <w:rFonts w:ascii="宋体" w:hAnsi="宋体" w:hint="eastAsia"/>
          <w:kern w:val="0"/>
          <w:sz w:val="24"/>
        </w:rPr>
        <w:t>表</w:t>
      </w:r>
    </w:p>
    <w:p w:rsidR="00EE080D" w:rsidRDefault="00C04E08">
      <w:pPr>
        <w:widowControl/>
        <w:spacing w:line="360" w:lineRule="auto"/>
        <w:ind w:firstLineChars="200" w:firstLine="420"/>
        <w:jc w:val="left"/>
        <w:rPr>
          <w:rFonts w:ascii="宋体" w:hAnsi="宋体"/>
          <w:kern w:val="0"/>
          <w:sz w:val="24"/>
        </w:rPr>
      </w:pPr>
      <w:r>
        <w:rPr>
          <w:noProof/>
        </w:rPr>
        <w:drawing>
          <wp:anchor distT="0" distB="0" distL="114300" distR="114300" simplePos="0" relativeHeight="251660288" behindDoc="0" locked="0" layoutInCell="1" allowOverlap="1">
            <wp:simplePos x="0" y="0"/>
            <wp:positionH relativeFrom="column">
              <wp:posOffset>38100</wp:posOffset>
            </wp:positionH>
            <wp:positionV relativeFrom="paragraph">
              <wp:posOffset>78105</wp:posOffset>
            </wp:positionV>
            <wp:extent cx="5433060" cy="4128770"/>
            <wp:effectExtent l="9525" t="9525" r="24765" b="14605"/>
            <wp:wrapNone/>
            <wp:docPr id="460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7" name="图片 5"/>
                    <pic:cNvPicPr>
                      <a:picLocks noChangeAspect="1"/>
                    </pic:cNvPicPr>
                  </pic:nvPicPr>
                  <pic:blipFill>
                    <a:blip r:embed="rId10"/>
                    <a:stretch>
                      <a:fillRect/>
                    </a:stretch>
                  </pic:blipFill>
                  <pic:spPr>
                    <a:xfrm>
                      <a:off x="0" y="0"/>
                      <a:ext cx="5433060" cy="4129087"/>
                    </a:xfrm>
                    <a:prstGeom prst="rect">
                      <a:avLst/>
                    </a:prstGeom>
                    <a:noFill/>
                    <a:ln w="9525" cap="flat" cmpd="sng">
                      <a:solidFill>
                        <a:schemeClr val="tx1"/>
                      </a:solidFill>
                      <a:prstDash val="solid"/>
                      <a:round/>
                      <a:headEnd type="none" w="med" len="med"/>
                      <a:tailEnd type="none" w="med" len="med"/>
                    </a:ln>
                  </pic:spPr>
                </pic:pic>
              </a:graphicData>
            </a:graphic>
          </wp:anchor>
        </w:drawing>
      </w: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C04E08">
      <w:pPr>
        <w:widowControl/>
        <w:spacing w:line="360" w:lineRule="auto"/>
        <w:ind w:firstLineChars="200" w:firstLine="420"/>
        <w:jc w:val="left"/>
        <w:rPr>
          <w:rFonts w:ascii="宋体" w:hAnsi="宋体"/>
          <w:kern w:val="0"/>
          <w:sz w:val="24"/>
        </w:rPr>
      </w:pPr>
      <w:r>
        <w:rPr>
          <w:noProof/>
        </w:rPr>
        <w:drawing>
          <wp:anchor distT="0" distB="0" distL="114300" distR="114300" simplePos="0" relativeHeight="251661312" behindDoc="0" locked="0" layoutInCell="1" allowOverlap="1">
            <wp:simplePos x="0" y="0"/>
            <wp:positionH relativeFrom="column">
              <wp:posOffset>13970</wp:posOffset>
            </wp:positionH>
            <wp:positionV relativeFrom="paragraph">
              <wp:posOffset>15875</wp:posOffset>
            </wp:positionV>
            <wp:extent cx="5455920" cy="3576955"/>
            <wp:effectExtent l="4445" t="4445" r="6985" b="19050"/>
            <wp:wrapNone/>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C04E08">
      <w:pPr>
        <w:widowControl/>
        <w:spacing w:line="360" w:lineRule="auto"/>
        <w:jc w:val="center"/>
        <w:rPr>
          <w:rFonts w:ascii="宋体" w:hAnsi="宋体"/>
          <w:kern w:val="0"/>
          <w:sz w:val="24"/>
        </w:rPr>
      </w:pPr>
      <w:r>
        <w:rPr>
          <w:rFonts w:ascii="宋体" w:hAnsi="宋体" w:hint="eastAsia"/>
          <w:kern w:val="0"/>
          <w:sz w:val="24"/>
        </w:rPr>
        <w:t>图</w:t>
      </w:r>
      <w:r>
        <w:rPr>
          <w:rFonts w:ascii="宋体" w:hAnsi="宋体" w:hint="eastAsia"/>
          <w:kern w:val="0"/>
          <w:sz w:val="24"/>
        </w:rPr>
        <w:t xml:space="preserve">1 </w:t>
      </w:r>
      <w:r>
        <w:rPr>
          <w:rFonts w:ascii="宋体" w:hAnsi="宋体" w:hint="eastAsia"/>
          <w:kern w:val="0"/>
          <w:sz w:val="24"/>
        </w:rPr>
        <w:t>各试验</w:t>
      </w:r>
      <w:r>
        <w:rPr>
          <w:rFonts w:ascii="宋体" w:hAnsi="宋体" w:hint="eastAsia"/>
          <w:kern w:val="0"/>
          <w:sz w:val="24"/>
        </w:rPr>
        <w:t>平均扩蚀面积柱状图</w:t>
      </w:r>
    </w:p>
    <w:p w:rsidR="00EE080D" w:rsidRDefault="00EE080D">
      <w:pPr>
        <w:widowControl/>
        <w:spacing w:line="360" w:lineRule="auto"/>
        <w:ind w:firstLineChars="200" w:firstLine="480"/>
        <w:jc w:val="left"/>
        <w:rPr>
          <w:rFonts w:ascii="宋体" w:hAnsi="宋体"/>
          <w:kern w:val="0"/>
          <w:sz w:val="24"/>
        </w:rPr>
      </w:pP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lastRenderedPageBreak/>
        <w:t>标准工作组做了大量的试验，一轮试验周期最长的将近</w:t>
      </w:r>
      <w:r>
        <w:rPr>
          <w:rFonts w:ascii="宋体" w:hAnsi="宋体" w:hint="eastAsia"/>
          <w:kern w:val="0"/>
          <w:sz w:val="24"/>
        </w:rPr>
        <w:t>4</w:t>
      </w:r>
      <w:r>
        <w:rPr>
          <w:rFonts w:ascii="宋体" w:hAnsi="宋体" w:hint="eastAsia"/>
          <w:kern w:val="0"/>
          <w:sz w:val="24"/>
        </w:rPr>
        <w:t>个月，对数据分析也采用联合及集中评价，统一评价规范，从而保证数据的准确。并且一轮试验做完后，根据第一轮结果还进行了第二轮补充试验。整个试验过程，工作量大，协作单位多，周期长。但标准工作组通过现场会议、电话会议、微信群等沟通方式以及项目管理监控方法等有效措施保证了试验工作的顺利开展，同时保证了试验数据的准确。</w:t>
      </w:r>
    </w:p>
    <w:p w:rsidR="00EE080D" w:rsidRDefault="00C04E08">
      <w:pPr>
        <w:widowControl/>
        <w:numPr>
          <w:ilvl w:val="0"/>
          <w:numId w:val="2"/>
        </w:numPr>
        <w:spacing w:line="360" w:lineRule="auto"/>
        <w:jc w:val="left"/>
        <w:rPr>
          <w:rFonts w:ascii="宋体" w:hAnsi="宋体"/>
          <w:kern w:val="0"/>
          <w:sz w:val="24"/>
        </w:rPr>
      </w:pPr>
      <w:r>
        <w:rPr>
          <w:rFonts w:ascii="宋体" w:hAnsi="宋体" w:hint="eastAsia"/>
          <w:kern w:val="0"/>
          <w:sz w:val="24"/>
        </w:rPr>
        <w:t>腐蚀形貌</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在试验结果评价方面，铝合金的腐蚀形貌与普通钢板不同，主要存在如下三种腐蚀形貌，见表</w:t>
      </w:r>
      <w:r>
        <w:rPr>
          <w:rFonts w:ascii="宋体" w:hAnsi="宋体" w:hint="eastAsia"/>
          <w:kern w:val="0"/>
          <w:sz w:val="24"/>
        </w:rPr>
        <w:t>5</w:t>
      </w:r>
      <w:r>
        <w:rPr>
          <w:rFonts w:ascii="宋体" w:hAnsi="宋体" w:hint="eastAsia"/>
          <w:kern w:val="0"/>
          <w:sz w:val="24"/>
        </w:rPr>
        <w:t>所示。因此在标准中明确了几种不同的形貌特征及结果记录要求，以便于试验结果合格的判定。</w:t>
      </w:r>
    </w:p>
    <w:p w:rsidR="00EE080D" w:rsidRDefault="00C04E08">
      <w:pPr>
        <w:widowControl/>
        <w:spacing w:line="360" w:lineRule="auto"/>
        <w:jc w:val="center"/>
        <w:rPr>
          <w:rFonts w:ascii="Calibri" w:hAnsi="Calibri"/>
          <w:szCs w:val="22"/>
        </w:rPr>
      </w:pPr>
      <w:r>
        <w:rPr>
          <w:rFonts w:ascii="宋体" w:hAnsi="宋体" w:hint="eastAsia"/>
          <w:kern w:val="0"/>
          <w:sz w:val="24"/>
        </w:rPr>
        <w:t>表</w:t>
      </w:r>
      <w:r>
        <w:rPr>
          <w:rFonts w:ascii="宋体" w:hAnsi="宋体" w:hint="eastAsia"/>
          <w:kern w:val="0"/>
          <w:sz w:val="24"/>
        </w:rPr>
        <w:t xml:space="preserve">5 </w:t>
      </w:r>
      <w:r>
        <w:rPr>
          <w:rFonts w:ascii="宋体" w:hAnsi="宋体" w:hint="eastAsia"/>
          <w:kern w:val="0"/>
          <w:sz w:val="24"/>
        </w:rPr>
        <w:t>各试验</w:t>
      </w:r>
      <w:r>
        <w:rPr>
          <w:rFonts w:ascii="宋体" w:hAnsi="宋体" w:hint="eastAsia"/>
          <w:kern w:val="0"/>
          <w:sz w:val="24"/>
        </w:rPr>
        <w:t>平均扩蚀面积</w:t>
      </w:r>
      <w:r>
        <w:rPr>
          <w:rFonts w:ascii="宋体" w:hAnsi="宋体" w:hint="eastAsia"/>
          <w:kern w:val="0"/>
          <w:sz w:val="24"/>
        </w:rPr>
        <w:t>总计对比</w:t>
      </w:r>
      <w:r>
        <w:rPr>
          <w:rFonts w:ascii="宋体" w:hAnsi="宋体" w:hint="eastAsia"/>
          <w:kern w:val="0"/>
          <w:sz w:val="24"/>
        </w:rPr>
        <w:t>表</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5025"/>
        <w:gridCol w:w="2951"/>
      </w:tblGrid>
      <w:tr w:rsidR="00EE080D">
        <w:tc>
          <w:tcPr>
            <w:tcW w:w="1240" w:type="dxa"/>
            <w:shd w:val="clear" w:color="auto" w:fill="auto"/>
          </w:tcPr>
          <w:p w:rsidR="00EE080D" w:rsidRDefault="00C04E08">
            <w:pPr>
              <w:rPr>
                <w:rFonts w:ascii="Calibri" w:hAnsi="Calibri"/>
                <w:szCs w:val="22"/>
              </w:rPr>
            </w:pPr>
            <w:r>
              <w:rPr>
                <w:rFonts w:ascii="Calibri" w:hAnsi="Calibri" w:hint="eastAsia"/>
                <w:szCs w:val="22"/>
              </w:rPr>
              <w:t>腐蚀形貌</w:t>
            </w:r>
          </w:p>
        </w:tc>
        <w:tc>
          <w:tcPr>
            <w:tcW w:w="5025" w:type="dxa"/>
            <w:shd w:val="clear" w:color="auto" w:fill="auto"/>
          </w:tcPr>
          <w:p w:rsidR="00EE080D" w:rsidRDefault="00C04E08">
            <w:pPr>
              <w:rPr>
                <w:rFonts w:ascii="Calibri" w:hAnsi="Calibri"/>
                <w:szCs w:val="22"/>
              </w:rPr>
            </w:pPr>
            <w:r>
              <w:rPr>
                <w:rFonts w:ascii="Calibri" w:hAnsi="Calibri" w:hint="eastAsia"/>
                <w:szCs w:val="22"/>
              </w:rPr>
              <w:t>描述</w:t>
            </w:r>
          </w:p>
        </w:tc>
        <w:tc>
          <w:tcPr>
            <w:tcW w:w="2951" w:type="dxa"/>
            <w:shd w:val="clear" w:color="auto" w:fill="auto"/>
          </w:tcPr>
          <w:p w:rsidR="00EE080D" w:rsidRDefault="00C04E08">
            <w:pPr>
              <w:rPr>
                <w:rFonts w:ascii="Calibri" w:hAnsi="Calibri"/>
                <w:szCs w:val="22"/>
              </w:rPr>
            </w:pPr>
            <w:r>
              <w:rPr>
                <w:rFonts w:ascii="Calibri" w:hAnsi="Calibri" w:hint="eastAsia"/>
                <w:szCs w:val="22"/>
              </w:rPr>
              <w:t>腐蚀长度及腐蚀宽度</w:t>
            </w:r>
          </w:p>
        </w:tc>
      </w:tr>
      <w:tr w:rsidR="00EE080D">
        <w:tc>
          <w:tcPr>
            <w:tcW w:w="1240" w:type="dxa"/>
            <w:shd w:val="clear" w:color="auto" w:fill="auto"/>
          </w:tcPr>
          <w:p w:rsidR="00EE080D" w:rsidRDefault="00C04E08">
            <w:pPr>
              <w:jc w:val="center"/>
              <w:rPr>
                <w:rFonts w:ascii="Calibri" w:hAnsi="Calibri"/>
                <w:szCs w:val="22"/>
              </w:rPr>
            </w:pPr>
            <w:r>
              <w:rPr>
                <w:rFonts w:ascii="Calibri" w:hAnsi="Calibri"/>
                <w:szCs w:val="22"/>
              </w:rPr>
              <w:t>A</w:t>
            </w:r>
          </w:p>
        </w:tc>
        <w:tc>
          <w:tcPr>
            <w:tcW w:w="5025" w:type="dxa"/>
            <w:shd w:val="clear" w:color="auto" w:fill="auto"/>
          </w:tcPr>
          <w:p w:rsidR="00EE080D" w:rsidRDefault="00C04E08">
            <w:pPr>
              <w:rPr>
                <w:rFonts w:ascii="Calibri" w:hAnsi="Calibri"/>
                <w:szCs w:val="22"/>
              </w:rPr>
            </w:pPr>
            <w:r>
              <w:rPr>
                <w:rFonts w:ascii="Calibri" w:hAnsi="Calibri" w:hint="eastAsia"/>
                <w:szCs w:val="22"/>
              </w:rPr>
              <w:t>单根丝状腐蚀</w:t>
            </w:r>
            <w:r>
              <w:rPr>
                <w:rFonts w:ascii="Calibri" w:hAnsi="Calibri" w:hint="eastAsia"/>
                <w:szCs w:val="22"/>
              </w:rPr>
              <w:t>，如图</w:t>
            </w:r>
            <w:r>
              <w:rPr>
                <w:rFonts w:ascii="Calibri" w:hAnsi="Calibri" w:hint="eastAsia"/>
                <w:szCs w:val="22"/>
              </w:rPr>
              <w:t>B.1</w:t>
            </w:r>
            <w:r>
              <w:rPr>
                <w:rFonts w:ascii="Calibri" w:hAnsi="Calibri" w:hint="eastAsia"/>
                <w:szCs w:val="22"/>
              </w:rPr>
              <w:t>所示</w:t>
            </w:r>
          </w:p>
        </w:tc>
        <w:tc>
          <w:tcPr>
            <w:tcW w:w="2951" w:type="dxa"/>
            <w:shd w:val="clear" w:color="auto" w:fill="auto"/>
          </w:tcPr>
          <w:p w:rsidR="00EE080D" w:rsidRDefault="00C04E08">
            <w:pPr>
              <w:rPr>
                <w:rFonts w:ascii="Calibri" w:hAnsi="Calibri"/>
                <w:szCs w:val="22"/>
              </w:rPr>
            </w:pPr>
            <w:r>
              <w:rPr>
                <w:rFonts w:ascii="Calibri" w:hAnsi="Calibri" w:hint="eastAsia"/>
                <w:szCs w:val="22"/>
              </w:rPr>
              <w:t>腐蚀宽度较小</w:t>
            </w:r>
          </w:p>
        </w:tc>
      </w:tr>
      <w:tr w:rsidR="00EE080D">
        <w:tc>
          <w:tcPr>
            <w:tcW w:w="1240" w:type="dxa"/>
            <w:shd w:val="clear" w:color="auto" w:fill="auto"/>
          </w:tcPr>
          <w:p w:rsidR="00EE080D" w:rsidRDefault="00C04E08">
            <w:pPr>
              <w:jc w:val="center"/>
              <w:rPr>
                <w:rFonts w:ascii="Calibri" w:hAnsi="Calibri"/>
                <w:szCs w:val="22"/>
              </w:rPr>
            </w:pPr>
            <w:r>
              <w:rPr>
                <w:rFonts w:ascii="Calibri" w:hAnsi="Calibri"/>
                <w:szCs w:val="22"/>
              </w:rPr>
              <w:t>B</w:t>
            </w:r>
          </w:p>
        </w:tc>
        <w:tc>
          <w:tcPr>
            <w:tcW w:w="5025" w:type="dxa"/>
            <w:shd w:val="clear" w:color="auto" w:fill="auto"/>
          </w:tcPr>
          <w:p w:rsidR="00EE080D" w:rsidRDefault="00C04E08">
            <w:pPr>
              <w:rPr>
                <w:rFonts w:ascii="Calibri" w:hAnsi="Calibri"/>
                <w:szCs w:val="22"/>
              </w:rPr>
            </w:pPr>
            <w:r>
              <w:rPr>
                <w:rFonts w:ascii="Calibri" w:hAnsi="Calibri" w:hint="eastAsia"/>
                <w:szCs w:val="22"/>
              </w:rPr>
              <w:t>多根丝状腐蚀，形成网状，从划痕处向外扩散</w:t>
            </w:r>
            <w:r>
              <w:rPr>
                <w:rFonts w:ascii="Calibri" w:hAnsi="Calibri" w:hint="eastAsia"/>
                <w:szCs w:val="22"/>
              </w:rPr>
              <w:t>，如图</w:t>
            </w:r>
            <w:r>
              <w:rPr>
                <w:rFonts w:ascii="Calibri" w:hAnsi="Calibri" w:hint="eastAsia"/>
                <w:szCs w:val="22"/>
              </w:rPr>
              <w:t>B.2</w:t>
            </w:r>
            <w:r>
              <w:rPr>
                <w:rFonts w:ascii="Calibri" w:hAnsi="Calibri" w:hint="eastAsia"/>
                <w:szCs w:val="22"/>
              </w:rPr>
              <w:t>所示</w:t>
            </w:r>
          </w:p>
        </w:tc>
        <w:tc>
          <w:tcPr>
            <w:tcW w:w="2951" w:type="dxa"/>
            <w:shd w:val="clear" w:color="auto" w:fill="auto"/>
          </w:tcPr>
          <w:p w:rsidR="00EE080D" w:rsidRDefault="00C04E08">
            <w:pPr>
              <w:rPr>
                <w:rFonts w:ascii="Calibri" w:hAnsi="Calibri"/>
                <w:szCs w:val="22"/>
              </w:rPr>
            </w:pPr>
            <w:r>
              <w:rPr>
                <w:rFonts w:ascii="Calibri" w:hAnsi="Calibri" w:hint="eastAsia"/>
                <w:szCs w:val="22"/>
              </w:rPr>
              <w:t>测量平均腐蚀长度和腐蚀宽度</w:t>
            </w:r>
          </w:p>
        </w:tc>
      </w:tr>
      <w:tr w:rsidR="00EE080D">
        <w:tc>
          <w:tcPr>
            <w:tcW w:w="1240" w:type="dxa"/>
            <w:shd w:val="clear" w:color="auto" w:fill="auto"/>
          </w:tcPr>
          <w:p w:rsidR="00EE080D" w:rsidRDefault="00C04E08">
            <w:pPr>
              <w:jc w:val="center"/>
              <w:rPr>
                <w:rFonts w:ascii="Calibri" w:hAnsi="Calibri"/>
                <w:szCs w:val="22"/>
              </w:rPr>
            </w:pPr>
            <w:r>
              <w:rPr>
                <w:rFonts w:ascii="Calibri" w:hAnsi="Calibri"/>
                <w:szCs w:val="22"/>
              </w:rPr>
              <w:t>C</w:t>
            </w:r>
          </w:p>
        </w:tc>
        <w:tc>
          <w:tcPr>
            <w:tcW w:w="5025" w:type="dxa"/>
            <w:shd w:val="clear" w:color="auto" w:fill="auto"/>
          </w:tcPr>
          <w:p w:rsidR="00EE080D" w:rsidRDefault="00C04E08">
            <w:pPr>
              <w:rPr>
                <w:rFonts w:ascii="Calibri" w:hAnsi="Calibri"/>
                <w:szCs w:val="22"/>
              </w:rPr>
            </w:pPr>
            <w:r>
              <w:rPr>
                <w:rFonts w:ascii="Calibri" w:hAnsi="Calibri" w:hint="eastAsia"/>
                <w:szCs w:val="22"/>
              </w:rPr>
              <w:t>从划痕处长出单个或多个泡状腐蚀</w:t>
            </w:r>
            <w:r>
              <w:rPr>
                <w:rFonts w:ascii="Calibri" w:hAnsi="Calibri" w:hint="eastAsia"/>
                <w:szCs w:val="22"/>
              </w:rPr>
              <w:t>，如图</w:t>
            </w:r>
            <w:r>
              <w:rPr>
                <w:rFonts w:ascii="Calibri" w:hAnsi="Calibri" w:hint="eastAsia"/>
                <w:szCs w:val="22"/>
              </w:rPr>
              <w:t>B.3</w:t>
            </w:r>
            <w:r>
              <w:rPr>
                <w:rFonts w:ascii="Calibri" w:hAnsi="Calibri" w:hint="eastAsia"/>
                <w:szCs w:val="22"/>
              </w:rPr>
              <w:t>所示</w:t>
            </w:r>
          </w:p>
        </w:tc>
        <w:tc>
          <w:tcPr>
            <w:tcW w:w="2951" w:type="dxa"/>
            <w:shd w:val="clear" w:color="auto" w:fill="auto"/>
          </w:tcPr>
          <w:p w:rsidR="00EE080D" w:rsidRDefault="00C04E08">
            <w:pPr>
              <w:rPr>
                <w:rFonts w:ascii="Calibri" w:hAnsi="Calibri"/>
                <w:szCs w:val="22"/>
              </w:rPr>
            </w:pPr>
            <w:r>
              <w:rPr>
                <w:rFonts w:ascii="Calibri" w:hAnsi="Calibri" w:hint="eastAsia"/>
                <w:szCs w:val="22"/>
              </w:rPr>
              <w:t>腐蚀长度和腐蚀宽度相当</w:t>
            </w:r>
          </w:p>
        </w:tc>
      </w:tr>
    </w:tbl>
    <w:p w:rsidR="00EE080D" w:rsidRDefault="00C04E08">
      <w:pPr>
        <w:widowControl/>
        <w:spacing w:line="360" w:lineRule="auto"/>
      </w:pPr>
      <w:r>
        <w:rPr>
          <w:noProof/>
        </w:rPr>
        <w:drawing>
          <wp:inline distT="0" distB="0" distL="114300" distR="114300">
            <wp:extent cx="5761355" cy="3417570"/>
            <wp:effectExtent l="0" t="0" r="1079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rcRect l="7500" t="13413" r="6214" b="13711"/>
                    <a:stretch>
                      <a:fillRect/>
                    </a:stretch>
                  </pic:blipFill>
                  <pic:spPr>
                    <a:xfrm>
                      <a:off x="0" y="0"/>
                      <a:ext cx="5761355" cy="3417570"/>
                    </a:xfrm>
                    <a:prstGeom prst="rect">
                      <a:avLst/>
                    </a:prstGeom>
                    <a:noFill/>
                    <a:ln w="9525">
                      <a:noFill/>
                    </a:ln>
                  </pic:spPr>
                </pic:pic>
              </a:graphicData>
            </a:graphic>
          </wp:inline>
        </w:drawing>
      </w:r>
    </w:p>
    <w:p w:rsidR="00EE080D" w:rsidRDefault="00C04E08">
      <w:pPr>
        <w:widowControl/>
        <w:spacing w:line="360" w:lineRule="auto"/>
        <w:jc w:val="center"/>
      </w:pPr>
      <w:r>
        <w:rPr>
          <w:rFonts w:ascii="宋体" w:hAnsi="宋体" w:hint="eastAsia"/>
          <w:kern w:val="0"/>
          <w:sz w:val="24"/>
        </w:rPr>
        <w:t>图</w:t>
      </w:r>
      <w:r>
        <w:rPr>
          <w:rFonts w:ascii="宋体" w:hAnsi="宋体" w:hint="eastAsia"/>
          <w:kern w:val="0"/>
          <w:sz w:val="24"/>
        </w:rPr>
        <w:t xml:space="preserve">2 </w:t>
      </w:r>
      <w:r>
        <w:rPr>
          <w:rFonts w:ascii="宋体" w:hAnsi="宋体" w:hint="eastAsia"/>
          <w:kern w:val="0"/>
          <w:sz w:val="24"/>
        </w:rPr>
        <w:t>铝合金板材复合涂层腐蚀形貌</w:t>
      </w:r>
    </w:p>
    <w:p w:rsidR="00EE080D" w:rsidRDefault="00C04E08">
      <w:pPr>
        <w:spacing w:line="360" w:lineRule="auto"/>
        <w:rPr>
          <w:rFonts w:ascii="宋体" w:hAnsi="宋体"/>
          <w:b/>
          <w:szCs w:val="21"/>
        </w:rPr>
      </w:pPr>
      <w:r>
        <w:rPr>
          <w:rFonts w:ascii="宋体" w:hAnsi="宋体" w:hint="eastAsia"/>
          <w:b/>
          <w:szCs w:val="21"/>
        </w:rPr>
        <w:t>四、标准中涉及专利的情况</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本标准未涉及专利。</w:t>
      </w:r>
    </w:p>
    <w:p w:rsidR="00EE080D" w:rsidRDefault="00EE080D">
      <w:pPr>
        <w:widowControl/>
        <w:spacing w:line="360" w:lineRule="auto"/>
        <w:ind w:firstLineChars="200" w:firstLine="480"/>
        <w:jc w:val="left"/>
        <w:rPr>
          <w:rFonts w:ascii="宋体" w:hAnsi="宋体"/>
          <w:kern w:val="0"/>
          <w:sz w:val="24"/>
        </w:rPr>
      </w:pPr>
    </w:p>
    <w:p w:rsidR="00EE080D" w:rsidRDefault="00C04E08">
      <w:pPr>
        <w:spacing w:line="360" w:lineRule="auto"/>
        <w:rPr>
          <w:rFonts w:ascii="宋体" w:hAnsi="宋体"/>
          <w:b/>
          <w:szCs w:val="21"/>
        </w:rPr>
      </w:pPr>
      <w:r>
        <w:rPr>
          <w:rFonts w:ascii="宋体" w:hAnsi="宋体" w:hint="eastAsia"/>
          <w:b/>
          <w:szCs w:val="21"/>
        </w:rPr>
        <w:t>五</w:t>
      </w:r>
      <w:r>
        <w:rPr>
          <w:rFonts w:ascii="宋体" w:hAnsi="宋体"/>
          <w:b/>
          <w:szCs w:val="21"/>
        </w:rPr>
        <w:t>、预期达到的社会效益、对产业发展的作用的情况</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lastRenderedPageBreak/>
        <w:t>随着节能减排绿色出行的环保观念深入人心，国务院及工信部等相关单位</w:t>
      </w:r>
      <w:r>
        <w:rPr>
          <w:rFonts w:ascii="宋体" w:hAnsi="宋体" w:hint="eastAsia"/>
          <w:kern w:val="0"/>
          <w:sz w:val="24"/>
        </w:rPr>
        <w:t>已经</w:t>
      </w:r>
      <w:r>
        <w:rPr>
          <w:rFonts w:ascii="宋体" w:hAnsi="宋体" w:hint="eastAsia"/>
          <w:kern w:val="0"/>
          <w:sz w:val="24"/>
        </w:rPr>
        <w:t>发布</w:t>
      </w:r>
      <w:r>
        <w:rPr>
          <w:rFonts w:ascii="宋体" w:hAnsi="宋体" w:hint="eastAsia"/>
          <w:kern w:val="0"/>
          <w:sz w:val="24"/>
        </w:rPr>
        <w:t>了</w:t>
      </w:r>
      <w:r>
        <w:rPr>
          <w:rFonts w:ascii="宋体" w:hAnsi="宋体" w:hint="eastAsia"/>
          <w:kern w:val="0"/>
          <w:sz w:val="24"/>
        </w:rPr>
        <w:t>乘用车燃油消耗量的限制，车身轻量化加速推进，车身铝合金的应用越来越广泛，并呈现</w:t>
      </w:r>
      <w:r>
        <w:rPr>
          <w:rFonts w:ascii="宋体" w:hAnsi="宋体" w:hint="eastAsia"/>
          <w:kern w:val="0"/>
          <w:sz w:val="24"/>
        </w:rPr>
        <w:t>明显</w:t>
      </w:r>
      <w:r>
        <w:rPr>
          <w:rFonts w:ascii="宋体" w:hAnsi="宋体" w:hint="eastAsia"/>
          <w:kern w:val="0"/>
          <w:sz w:val="24"/>
        </w:rPr>
        <w:t>上升趋势。铝合金材料在传统燃油车领域应用日益广泛，在新能源汽车领域则担当了主要角色</w:t>
      </w:r>
      <w:r>
        <w:rPr>
          <w:rFonts w:ascii="宋体" w:hAnsi="宋体" w:hint="eastAsia"/>
          <w:kern w:val="0"/>
          <w:sz w:val="24"/>
        </w:rPr>
        <w:t>，</w:t>
      </w:r>
      <w:r>
        <w:rPr>
          <w:rFonts w:ascii="宋体" w:hAnsi="宋体" w:hint="eastAsia"/>
          <w:kern w:val="0"/>
          <w:sz w:val="24"/>
        </w:rPr>
        <w:t>然而铝合金</w:t>
      </w:r>
      <w:r>
        <w:rPr>
          <w:rFonts w:ascii="宋体" w:hAnsi="宋体" w:hint="eastAsia"/>
          <w:kern w:val="0"/>
          <w:sz w:val="24"/>
        </w:rPr>
        <w:t>涂层耐腐蚀性能检测方法</w:t>
      </w:r>
      <w:r>
        <w:rPr>
          <w:rFonts w:ascii="宋体" w:hAnsi="宋体" w:hint="eastAsia"/>
          <w:kern w:val="0"/>
          <w:sz w:val="24"/>
        </w:rPr>
        <w:t>行业内没有明确要求，甚至部分铝合金零件不进行任何表面处理，凭借自然氧化膜进行腐蚀防护，为汽车腐蚀风险带来巨大隐患。因此中国汽车行业急需一份铝合金涂层</w:t>
      </w:r>
      <w:r>
        <w:rPr>
          <w:rFonts w:ascii="宋体" w:hAnsi="宋体" w:hint="eastAsia"/>
          <w:kern w:val="0"/>
          <w:sz w:val="24"/>
        </w:rPr>
        <w:t>耐</w:t>
      </w:r>
      <w:r>
        <w:rPr>
          <w:rFonts w:ascii="宋体" w:hAnsi="宋体" w:hint="eastAsia"/>
          <w:kern w:val="0"/>
          <w:sz w:val="24"/>
        </w:rPr>
        <w:t>腐蚀试验方法，作为铝合金车身及零部件耐腐蚀性能评估依据。</w:t>
      </w:r>
    </w:p>
    <w:p w:rsidR="00EE080D" w:rsidRDefault="00C04E08">
      <w:pPr>
        <w:widowControl/>
        <w:spacing w:line="360" w:lineRule="auto"/>
        <w:ind w:firstLineChars="200" w:firstLine="480"/>
        <w:jc w:val="left"/>
        <w:rPr>
          <w:rFonts w:ascii="宋体" w:hAnsi="宋体"/>
          <w:kern w:val="0"/>
          <w:sz w:val="24"/>
        </w:rPr>
      </w:pPr>
      <w:r>
        <w:rPr>
          <w:rFonts w:ascii="宋体" w:hAnsi="宋体" w:hint="eastAsia"/>
          <w:kern w:val="0"/>
          <w:sz w:val="24"/>
        </w:rPr>
        <w:t>目前中国汽车自主品牌铝合金防腐技术与验证方法处于发展初期，开发与国内大气腐蚀相关性好、试验</w:t>
      </w:r>
      <w:r>
        <w:rPr>
          <w:rFonts w:ascii="宋体" w:hAnsi="宋体" w:hint="eastAsia"/>
          <w:kern w:val="0"/>
          <w:sz w:val="24"/>
        </w:rPr>
        <w:t>方法方便快捷</w:t>
      </w:r>
      <w:r>
        <w:rPr>
          <w:rFonts w:ascii="宋体" w:hAnsi="宋体" w:hint="eastAsia"/>
          <w:kern w:val="0"/>
          <w:sz w:val="24"/>
        </w:rPr>
        <w:t>的铝</w:t>
      </w:r>
      <w:r>
        <w:rPr>
          <w:rFonts w:ascii="宋体" w:hAnsi="宋体" w:hint="eastAsia"/>
          <w:kern w:val="0"/>
          <w:sz w:val="24"/>
        </w:rPr>
        <w:t>合金涂层加速腐蚀试验方法符合中国汽车工业的发展需求。</w:t>
      </w:r>
      <w:r>
        <w:rPr>
          <w:rFonts w:ascii="宋体" w:hAnsi="宋体" w:hint="eastAsia"/>
          <w:kern w:val="0"/>
          <w:sz w:val="24"/>
        </w:rPr>
        <w:t>汽车车身铝合金板材复合涂层加速腐蚀试验方法的制定可以有效评价铝合金车身涂层的耐腐蚀性，减少腐蚀带来的车身安全以及外观破坏风险，同时，该方法可以用于铝合金涂层耐腐蚀性能验证、可用于开发应用在铝合金基材的涂料及前处理材料耐腐蚀性能验证、可用于含铝车身涂装生产的日常质量管控，更好地开展铝合金车身制造过程防腐性能的控制和监管。</w:t>
      </w:r>
    </w:p>
    <w:p w:rsidR="00EE080D" w:rsidRDefault="00C04E08">
      <w:pPr>
        <w:widowControl/>
        <w:spacing w:line="360" w:lineRule="auto"/>
        <w:ind w:firstLineChars="200" w:firstLine="480"/>
        <w:jc w:val="left"/>
        <w:rPr>
          <w:rFonts w:ascii="宋体" w:hAnsi="宋体"/>
          <w:color w:val="FF0000"/>
          <w:kern w:val="0"/>
          <w:sz w:val="24"/>
        </w:rPr>
      </w:pPr>
      <w:r>
        <w:rPr>
          <w:rFonts w:ascii="宋体" w:hAnsi="宋体" w:hint="eastAsia"/>
          <w:kern w:val="0"/>
          <w:sz w:val="24"/>
        </w:rPr>
        <w:t>另外，车身铝合金板材复合涂层加速腐蚀试验方法地制定，可以为汽车行业不同铝合金零部件材料、工艺以及涂层耐腐蚀性能地验证提供一个参考，搭建汽车</w:t>
      </w:r>
      <w:r>
        <w:rPr>
          <w:rFonts w:ascii="宋体" w:hAnsi="宋体" w:hint="eastAsia"/>
          <w:kern w:val="0"/>
          <w:sz w:val="24"/>
        </w:rPr>
        <w:t>铝合金材料防腐蚀性能验证</w:t>
      </w:r>
      <w:r>
        <w:rPr>
          <w:rFonts w:ascii="宋体" w:hAnsi="宋体" w:hint="eastAsia"/>
          <w:kern w:val="0"/>
          <w:sz w:val="24"/>
        </w:rPr>
        <w:t>工作</w:t>
      </w:r>
      <w:r>
        <w:rPr>
          <w:rFonts w:ascii="宋体" w:hAnsi="宋体" w:hint="eastAsia"/>
          <w:kern w:val="0"/>
          <w:sz w:val="24"/>
        </w:rPr>
        <w:t>的技术平台，以此平台为基点形成与铝合金相关的防腐蚀标准和技术成果</w:t>
      </w:r>
      <w:r>
        <w:rPr>
          <w:rFonts w:ascii="宋体" w:hAnsi="宋体" w:hint="eastAsia"/>
          <w:kern w:val="0"/>
          <w:sz w:val="24"/>
        </w:rPr>
        <w:t>。</w:t>
      </w:r>
    </w:p>
    <w:p w:rsidR="00EE080D" w:rsidRDefault="00C04E08">
      <w:pPr>
        <w:numPr>
          <w:ilvl w:val="0"/>
          <w:numId w:val="3"/>
        </w:numPr>
        <w:spacing w:line="360" w:lineRule="auto"/>
        <w:rPr>
          <w:rFonts w:ascii="宋体" w:hAnsi="宋体"/>
          <w:b/>
          <w:szCs w:val="21"/>
        </w:rPr>
      </w:pPr>
      <w:r>
        <w:rPr>
          <w:rFonts w:ascii="宋体" w:hAnsi="宋体" w:hint="eastAsia"/>
          <w:b/>
          <w:szCs w:val="21"/>
        </w:rPr>
        <w:t>采用国际标准和国外先进标准情况，与国际、国外同类标准水平的对比情况，国内外关键指标对比分析或与测试的国外样品、样机的相关数据对比情况</w:t>
      </w:r>
    </w:p>
    <w:p w:rsidR="00EE080D" w:rsidRDefault="00C04E08">
      <w:pPr>
        <w:spacing w:line="360" w:lineRule="auto"/>
        <w:ind w:firstLine="480"/>
        <w:rPr>
          <w:rFonts w:ascii="宋体" w:hAnsi="宋体"/>
          <w:kern w:val="0"/>
          <w:sz w:val="24"/>
        </w:rPr>
      </w:pPr>
      <w:r>
        <w:rPr>
          <w:rFonts w:ascii="宋体" w:hAnsi="宋体" w:hint="eastAsia"/>
          <w:kern w:val="0"/>
          <w:sz w:val="24"/>
        </w:rPr>
        <w:t>与</w:t>
      </w:r>
      <w:r>
        <w:rPr>
          <w:rFonts w:ascii="宋体" w:hAnsi="宋体" w:hint="eastAsia"/>
          <w:kern w:val="0"/>
          <w:sz w:val="24"/>
        </w:rPr>
        <w:t>VDA_233-102</w:t>
      </w:r>
      <w:r>
        <w:rPr>
          <w:rFonts w:ascii="宋体" w:hAnsi="宋体" w:hint="eastAsia"/>
          <w:kern w:val="0"/>
          <w:sz w:val="24"/>
        </w:rPr>
        <w:t>-2013</w:t>
      </w:r>
      <w:r>
        <w:rPr>
          <w:rFonts w:ascii="宋体" w:hAnsi="宋体" w:hint="eastAsia"/>
          <w:kern w:val="0"/>
          <w:sz w:val="24"/>
        </w:rPr>
        <w:t>汽车结构中金属和原件的循环腐蚀试验标准进行对比，此标准是在循环腐蚀交变的条件下，通过温湿度的变化进行加速腐蚀，试验的</w:t>
      </w:r>
      <w:r>
        <w:rPr>
          <w:rFonts w:ascii="宋体" w:hAnsi="宋体" w:hint="eastAsia"/>
          <w:kern w:val="0"/>
          <w:sz w:val="24"/>
        </w:rPr>
        <w:t>PH</w:t>
      </w:r>
      <w:r>
        <w:rPr>
          <w:rFonts w:ascii="宋体" w:hAnsi="宋体" w:hint="eastAsia"/>
          <w:kern w:val="0"/>
          <w:sz w:val="24"/>
        </w:rPr>
        <w:t>值为中性，一个循环包括</w:t>
      </w:r>
      <w:r>
        <w:rPr>
          <w:rFonts w:ascii="宋体" w:hAnsi="宋体" w:hint="eastAsia"/>
          <w:kern w:val="0"/>
          <w:sz w:val="24"/>
        </w:rPr>
        <w:t>B-A-C-A-B-A-B</w:t>
      </w:r>
      <w:r>
        <w:rPr>
          <w:rFonts w:ascii="宋体" w:hAnsi="宋体" w:hint="eastAsia"/>
          <w:kern w:val="0"/>
          <w:sz w:val="24"/>
        </w:rPr>
        <w:t>几个过程，如图</w:t>
      </w:r>
      <w:r>
        <w:rPr>
          <w:rFonts w:ascii="宋体" w:hAnsi="宋体" w:hint="eastAsia"/>
          <w:kern w:val="0"/>
          <w:sz w:val="24"/>
        </w:rPr>
        <w:t>3</w:t>
      </w:r>
      <w:r>
        <w:rPr>
          <w:rFonts w:ascii="宋体" w:hAnsi="宋体" w:hint="eastAsia"/>
          <w:kern w:val="0"/>
          <w:sz w:val="24"/>
        </w:rPr>
        <w:t>所示，试验周期为</w:t>
      </w:r>
      <w:r>
        <w:rPr>
          <w:rFonts w:ascii="宋体" w:hAnsi="宋体" w:hint="eastAsia"/>
          <w:kern w:val="0"/>
          <w:sz w:val="24"/>
        </w:rPr>
        <w:t>7</w:t>
      </w:r>
      <w:r>
        <w:rPr>
          <w:rFonts w:ascii="宋体" w:hAnsi="宋体" w:hint="eastAsia"/>
          <w:kern w:val="0"/>
          <w:sz w:val="24"/>
        </w:rPr>
        <w:t>天。</w:t>
      </w:r>
    </w:p>
    <w:p w:rsidR="00EE080D" w:rsidRDefault="00C04E08">
      <w:pPr>
        <w:widowControl/>
        <w:spacing w:line="360" w:lineRule="auto"/>
        <w:ind w:firstLineChars="200" w:firstLine="420"/>
        <w:jc w:val="left"/>
        <w:rPr>
          <w:rFonts w:ascii="宋体" w:hAnsi="宋体"/>
          <w:kern w:val="0"/>
          <w:sz w:val="24"/>
        </w:rPr>
      </w:pPr>
      <w:r>
        <w:rPr>
          <w:noProof/>
        </w:rPr>
        <w:drawing>
          <wp:anchor distT="0" distB="0" distL="114300" distR="114300" simplePos="0" relativeHeight="251662336" behindDoc="0" locked="0" layoutInCell="1" allowOverlap="1">
            <wp:simplePos x="0" y="0"/>
            <wp:positionH relativeFrom="column">
              <wp:posOffset>-133350</wp:posOffset>
            </wp:positionH>
            <wp:positionV relativeFrom="paragraph">
              <wp:posOffset>129540</wp:posOffset>
            </wp:positionV>
            <wp:extent cx="5581650" cy="2072005"/>
            <wp:effectExtent l="0" t="0" r="0" b="4445"/>
            <wp:wrapNone/>
            <wp:docPr id="2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 name="Picture 2"/>
                    <pic:cNvPicPr>
                      <a:picLocks noChangeAspect="1"/>
                    </pic:cNvPicPr>
                  </pic:nvPicPr>
                  <pic:blipFill>
                    <a:blip r:embed="rId13"/>
                    <a:srcRect l="11833" t="31504" r="16733" b="21563"/>
                    <a:stretch>
                      <a:fillRect/>
                    </a:stretch>
                  </pic:blipFill>
                  <pic:spPr>
                    <a:xfrm>
                      <a:off x="0" y="0"/>
                      <a:ext cx="5581650" cy="2072005"/>
                    </a:xfrm>
                    <a:prstGeom prst="rect">
                      <a:avLst/>
                    </a:prstGeom>
                    <a:noFill/>
                    <a:ln w="9525">
                      <a:noFill/>
                    </a:ln>
                  </pic:spPr>
                </pic:pic>
              </a:graphicData>
            </a:graphic>
          </wp:anchor>
        </w:drawing>
      </w: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C04E08">
      <w:pPr>
        <w:widowControl/>
        <w:spacing w:line="360" w:lineRule="auto"/>
        <w:jc w:val="left"/>
        <w:rPr>
          <w:rFonts w:ascii="宋体" w:hAnsi="宋体"/>
          <w:kern w:val="0"/>
          <w:sz w:val="24"/>
        </w:rPr>
      </w:pPr>
      <w:r>
        <w:rPr>
          <w:noProof/>
        </w:rPr>
        <w:lastRenderedPageBreak/>
        <w:drawing>
          <wp:anchor distT="0" distB="0" distL="114300" distR="114300" simplePos="0" relativeHeight="251663360" behindDoc="0" locked="0" layoutInCell="1" allowOverlap="1">
            <wp:simplePos x="0" y="0"/>
            <wp:positionH relativeFrom="column">
              <wp:posOffset>-69215</wp:posOffset>
            </wp:positionH>
            <wp:positionV relativeFrom="paragraph">
              <wp:posOffset>55245</wp:posOffset>
            </wp:positionV>
            <wp:extent cx="5587365" cy="2438400"/>
            <wp:effectExtent l="0" t="0" r="13335" b="0"/>
            <wp:wrapNone/>
            <wp:docPr id="2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 name="Picture 3"/>
                    <pic:cNvPicPr>
                      <a:picLocks noChangeAspect="1"/>
                    </pic:cNvPicPr>
                  </pic:nvPicPr>
                  <pic:blipFill>
                    <a:blip r:embed="rId14"/>
                    <a:srcRect l="10938" t="25448" r="25542" b="30387"/>
                    <a:stretch>
                      <a:fillRect/>
                    </a:stretch>
                  </pic:blipFill>
                  <pic:spPr>
                    <a:xfrm>
                      <a:off x="0" y="0"/>
                      <a:ext cx="5587365" cy="2438400"/>
                    </a:xfrm>
                    <a:prstGeom prst="rect">
                      <a:avLst/>
                    </a:prstGeom>
                    <a:noFill/>
                    <a:ln w="9525">
                      <a:noFill/>
                    </a:ln>
                  </pic:spPr>
                </pic:pic>
              </a:graphicData>
            </a:graphic>
          </wp:anchor>
        </w:drawing>
      </w: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C04E08">
      <w:pPr>
        <w:widowControl/>
        <w:spacing w:line="360" w:lineRule="auto"/>
        <w:ind w:firstLineChars="200" w:firstLine="420"/>
        <w:jc w:val="left"/>
        <w:rPr>
          <w:rFonts w:ascii="宋体" w:hAnsi="宋体"/>
          <w:kern w:val="0"/>
          <w:sz w:val="24"/>
        </w:r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125095</wp:posOffset>
            </wp:positionV>
            <wp:extent cx="5429250" cy="2499360"/>
            <wp:effectExtent l="0" t="0" r="0" b="15240"/>
            <wp:wrapNone/>
            <wp:docPr id="29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 name="Picture 4"/>
                    <pic:cNvPicPr>
                      <a:picLocks noChangeAspect="1"/>
                    </pic:cNvPicPr>
                  </pic:nvPicPr>
                  <pic:blipFill>
                    <a:blip r:embed="rId15"/>
                    <a:srcRect l="11047" t="25994" r="17188" b="21932"/>
                    <a:stretch>
                      <a:fillRect/>
                    </a:stretch>
                  </pic:blipFill>
                  <pic:spPr>
                    <a:xfrm>
                      <a:off x="0" y="0"/>
                      <a:ext cx="5429250" cy="2499360"/>
                    </a:xfrm>
                    <a:prstGeom prst="rect">
                      <a:avLst/>
                    </a:prstGeom>
                    <a:noFill/>
                    <a:ln w="9525">
                      <a:noFill/>
                    </a:ln>
                  </pic:spPr>
                </pic:pic>
              </a:graphicData>
            </a:graphic>
          </wp:anchor>
        </w:drawing>
      </w: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C04E08">
      <w:pPr>
        <w:widowControl/>
        <w:spacing w:line="360" w:lineRule="auto"/>
        <w:jc w:val="center"/>
        <w:rPr>
          <w:rFonts w:ascii="宋体" w:hAnsi="宋体"/>
          <w:kern w:val="0"/>
          <w:sz w:val="24"/>
        </w:rPr>
      </w:pPr>
      <w:r>
        <w:rPr>
          <w:rFonts w:ascii="宋体" w:hAnsi="宋体" w:hint="eastAsia"/>
          <w:kern w:val="0"/>
          <w:sz w:val="24"/>
        </w:rPr>
        <w:t>图</w:t>
      </w:r>
      <w:r>
        <w:rPr>
          <w:rFonts w:ascii="宋体" w:hAnsi="宋体" w:hint="eastAsia"/>
          <w:kern w:val="0"/>
          <w:sz w:val="24"/>
        </w:rPr>
        <w:t xml:space="preserve">3 </w:t>
      </w:r>
      <w:r>
        <w:rPr>
          <w:rFonts w:ascii="宋体" w:hAnsi="宋体" w:hint="eastAsia"/>
          <w:kern w:val="0"/>
          <w:sz w:val="24"/>
        </w:rPr>
        <w:t>VDA_233-102</w:t>
      </w:r>
      <w:r>
        <w:rPr>
          <w:rFonts w:ascii="宋体" w:hAnsi="宋体" w:hint="eastAsia"/>
          <w:kern w:val="0"/>
          <w:sz w:val="24"/>
        </w:rPr>
        <w:t>-2013</w:t>
      </w:r>
      <w:r>
        <w:rPr>
          <w:rFonts w:ascii="宋体" w:hAnsi="宋体" w:hint="eastAsia"/>
          <w:kern w:val="0"/>
          <w:sz w:val="24"/>
        </w:rPr>
        <w:t>实验方法</w:t>
      </w:r>
    </w:p>
    <w:p w:rsidR="00EE080D" w:rsidRDefault="00C04E08">
      <w:pPr>
        <w:widowControl/>
        <w:spacing w:line="360" w:lineRule="auto"/>
        <w:jc w:val="left"/>
        <w:rPr>
          <w:rFonts w:ascii="宋体" w:hAnsi="宋体"/>
          <w:kern w:val="0"/>
          <w:sz w:val="24"/>
        </w:rPr>
      </w:pPr>
      <w:r>
        <w:rPr>
          <w:rFonts w:ascii="宋体" w:hAnsi="宋体" w:hint="eastAsia"/>
          <w:kern w:val="0"/>
          <w:sz w:val="24"/>
        </w:rPr>
        <w:t xml:space="preserve">    </w:t>
      </w:r>
      <w:r>
        <w:rPr>
          <w:rFonts w:ascii="宋体" w:hAnsi="宋体" w:hint="eastAsia"/>
          <w:kern w:val="0"/>
          <w:sz w:val="24"/>
        </w:rPr>
        <w:t>而本标准是在酸性条件下</w:t>
      </w:r>
      <w:r>
        <w:rPr>
          <w:rFonts w:ascii="宋体" w:hAnsi="宋体" w:hint="eastAsia"/>
          <w:kern w:val="0"/>
          <w:sz w:val="24"/>
        </w:rPr>
        <w:t>PH</w:t>
      </w:r>
      <w:r>
        <w:rPr>
          <w:rFonts w:ascii="宋体" w:hAnsi="宋体" w:hint="eastAsia"/>
          <w:kern w:val="0"/>
          <w:sz w:val="24"/>
        </w:rPr>
        <w:t>为</w:t>
      </w:r>
      <w:r>
        <w:rPr>
          <w:rFonts w:ascii="宋体" w:hAnsi="宋体" w:hint="eastAsia"/>
          <w:kern w:val="0"/>
          <w:sz w:val="24"/>
        </w:rPr>
        <w:t>3.1-3.3</w:t>
      </w:r>
      <w:r>
        <w:rPr>
          <w:rFonts w:ascii="宋体" w:hAnsi="宋体" w:hint="eastAsia"/>
          <w:kern w:val="0"/>
          <w:sz w:val="24"/>
        </w:rPr>
        <w:t>，通过循环交变条件加速腐蚀，</w:t>
      </w:r>
      <w:r>
        <w:rPr>
          <w:rFonts w:ascii="宋体" w:hAnsi="宋体" w:hint="eastAsia"/>
          <w:kern w:val="0"/>
          <w:sz w:val="24"/>
        </w:rPr>
        <w:t>24</w:t>
      </w:r>
      <w:r>
        <w:rPr>
          <w:rFonts w:ascii="宋体" w:hAnsi="宋体" w:hint="eastAsia"/>
          <w:kern w:val="0"/>
          <w:sz w:val="24"/>
        </w:rPr>
        <w:t>小时为一个循环，如图</w:t>
      </w:r>
      <w:r>
        <w:rPr>
          <w:rFonts w:ascii="宋体" w:hAnsi="宋体" w:hint="eastAsia"/>
          <w:kern w:val="0"/>
          <w:sz w:val="24"/>
        </w:rPr>
        <w:t xml:space="preserve">4 </w:t>
      </w:r>
      <w:r>
        <w:rPr>
          <w:rFonts w:ascii="宋体" w:hAnsi="宋体" w:hint="eastAsia"/>
          <w:kern w:val="0"/>
          <w:sz w:val="24"/>
        </w:rPr>
        <w:t>所示</w:t>
      </w:r>
      <w:r>
        <w:rPr>
          <w:rFonts w:ascii="宋体" w:hAnsi="宋体" w:hint="eastAsia"/>
          <w:kern w:val="0"/>
          <w:sz w:val="24"/>
        </w:rPr>
        <w:t>。本标准的试验方法相对</w:t>
      </w:r>
      <w:r>
        <w:rPr>
          <w:rFonts w:ascii="宋体" w:hAnsi="宋体" w:hint="eastAsia"/>
          <w:kern w:val="0"/>
          <w:sz w:val="24"/>
        </w:rPr>
        <w:t>VDA_233-102</w:t>
      </w:r>
      <w:r>
        <w:rPr>
          <w:rFonts w:ascii="宋体" w:hAnsi="宋体" w:hint="eastAsia"/>
          <w:kern w:val="0"/>
          <w:sz w:val="24"/>
        </w:rPr>
        <w:t>-2013</w:t>
      </w:r>
      <w:r>
        <w:rPr>
          <w:rFonts w:ascii="宋体" w:hAnsi="宋体" w:hint="eastAsia"/>
          <w:kern w:val="0"/>
          <w:sz w:val="24"/>
        </w:rPr>
        <w:t>更有针对性，主要针对铝合金材料的加速腐蚀，每个循环的周期相对较短，可以起到加速作用</w:t>
      </w:r>
      <w:r>
        <w:rPr>
          <w:rFonts w:ascii="宋体" w:hAnsi="宋体" w:hint="eastAsia"/>
          <w:kern w:val="0"/>
          <w:sz w:val="24"/>
        </w:rPr>
        <w:t>。</w:t>
      </w:r>
    </w:p>
    <w:p w:rsidR="00EE080D" w:rsidRDefault="00C04E08">
      <w:pPr>
        <w:widowControl/>
        <w:spacing w:line="360" w:lineRule="auto"/>
        <w:ind w:firstLineChars="200" w:firstLine="420"/>
        <w:jc w:val="left"/>
        <w:rPr>
          <w:rFonts w:ascii="宋体" w:hAnsi="宋体"/>
          <w:kern w:val="0"/>
          <w:sz w:val="24"/>
        </w:rPr>
      </w:pPr>
      <w:r>
        <w:rPr>
          <w:noProof/>
        </w:rPr>
        <w:drawing>
          <wp:anchor distT="0" distB="0" distL="114300" distR="114300" simplePos="0" relativeHeight="251672576" behindDoc="0" locked="0" layoutInCell="1" allowOverlap="1">
            <wp:simplePos x="0" y="0"/>
            <wp:positionH relativeFrom="column">
              <wp:posOffset>-175895</wp:posOffset>
            </wp:positionH>
            <wp:positionV relativeFrom="paragraph">
              <wp:posOffset>106680</wp:posOffset>
            </wp:positionV>
            <wp:extent cx="5908040" cy="2304415"/>
            <wp:effectExtent l="0" t="0" r="16510" b="635"/>
            <wp:wrapNone/>
            <wp:docPr id="6" name="图片 15" descr="{D62F9993-B30B-48FE-B1C5-9754552C6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D62F9993-B30B-48FE-B1C5-9754552C617A}"/>
                    <pic:cNvPicPr>
                      <a:picLocks noChangeAspect="1"/>
                    </pic:cNvPicPr>
                  </pic:nvPicPr>
                  <pic:blipFill>
                    <a:blip r:embed="rId16"/>
                    <a:stretch>
                      <a:fillRect/>
                    </a:stretch>
                  </pic:blipFill>
                  <pic:spPr>
                    <a:xfrm>
                      <a:off x="0" y="0"/>
                      <a:ext cx="5908040" cy="2304415"/>
                    </a:xfrm>
                    <a:prstGeom prst="rect">
                      <a:avLst/>
                    </a:prstGeom>
                    <a:noFill/>
                    <a:ln w="9525">
                      <a:noFill/>
                    </a:ln>
                  </pic:spPr>
                </pic:pic>
              </a:graphicData>
            </a:graphic>
          </wp:anchor>
        </w:drawing>
      </w: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EE080D">
      <w:pPr>
        <w:widowControl/>
        <w:spacing w:line="360" w:lineRule="auto"/>
        <w:jc w:val="left"/>
        <w:rPr>
          <w:rFonts w:ascii="宋体" w:hAnsi="宋体"/>
          <w:kern w:val="0"/>
          <w:sz w:val="24"/>
        </w:rPr>
      </w:pPr>
    </w:p>
    <w:p w:rsidR="00EE080D" w:rsidRDefault="00EE080D">
      <w:pPr>
        <w:widowControl/>
        <w:spacing w:line="360" w:lineRule="auto"/>
        <w:ind w:firstLineChars="200" w:firstLine="480"/>
        <w:jc w:val="left"/>
        <w:rPr>
          <w:rFonts w:ascii="宋体" w:hAnsi="宋体"/>
          <w:kern w:val="0"/>
          <w:sz w:val="24"/>
        </w:rPr>
      </w:pPr>
    </w:p>
    <w:p w:rsidR="00EE080D" w:rsidRDefault="00C04E08">
      <w:pPr>
        <w:widowControl/>
        <w:spacing w:line="360" w:lineRule="auto"/>
        <w:ind w:firstLineChars="200" w:firstLine="480"/>
        <w:jc w:val="center"/>
        <w:rPr>
          <w:rFonts w:ascii="宋体" w:hAnsi="宋体"/>
          <w:kern w:val="0"/>
          <w:sz w:val="24"/>
        </w:rPr>
      </w:pPr>
      <w:r>
        <w:rPr>
          <w:rFonts w:ascii="宋体" w:hAnsi="宋体" w:hint="eastAsia"/>
          <w:kern w:val="0"/>
          <w:sz w:val="24"/>
        </w:rPr>
        <w:t>图</w:t>
      </w:r>
      <w:r>
        <w:rPr>
          <w:rFonts w:ascii="宋体" w:hAnsi="宋体" w:hint="eastAsia"/>
          <w:kern w:val="0"/>
          <w:sz w:val="24"/>
        </w:rPr>
        <w:t>4 CATCH</w:t>
      </w:r>
      <w:r>
        <w:rPr>
          <w:rFonts w:ascii="宋体" w:hAnsi="宋体" w:hint="eastAsia"/>
          <w:kern w:val="0"/>
          <w:sz w:val="24"/>
        </w:rPr>
        <w:t>试验试验方法</w:t>
      </w:r>
    </w:p>
    <w:p w:rsidR="00EE080D" w:rsidRDefault="00C04E08">
      <w:pPr>
        <w:spacing w:line="360" w:lineRule="auto"/>
        <w:rPr>
          <w:rFonts w:ascii="宋体" w:hAnsi="宋体"/>
          <w:b/>
          <w:szCs w:val="21"/>
        </w:rPr>
      </w:pPr>
      <w:r>
        <w:rPr>
          <w:rFonts w:ascii="宋体" w:hAnsi="宋体" w:hint="eastAsia"/>
          <w:b/>
          <w:szCs w:val="21"/>
        </w:rPr>
        <w:lastRenderedPageBreak/>
        <w:t>七</w:t>
      </w:r>
      <w:r>
        <w:rPr>
          <w:rFonts w:ascii="宋体" w:hAnsi="宋体"/>
          <w:b/>
          <w:szCs w:val="21"/>
        </w:rPr>
        <w:t>、在标准体系中的位置，与现行相关法律、法规、规章及相关标准，特别是强制性标准的协调性</w:t>
      </w:r>
    </w:p>
    <w:p w:rsidR="00EE080D" w:rsidRDefault="00C04E08">
      <w:pPr>
        <w:widowControl/>
        <w:spacing w:line="360" w:lineRule="auto"/>
        <w:ind w:firstLineChars="200" w:firstLine="420"/>
        <w:jc w:val="left"/>
        <w:rPr>
          <w:rFonts w:ascii="宋体" w:hAnsi="宋体"/>
          <w:szCs w:val="21"/>
        </w:rPr>
      </w:pPr>
      <w:r>
        <w:rPr>
          <w:rFonts w:ascii="宋体" w:hAnsi="宋体" w:hint="eastAsia"/>
          <w:szCs w:val="21"/>
        </w:rPr>
        <w:t>本标准符合国家有关法律、法规和相关强制性标准的要求，与现行的国家标准、行业标准相协调。</w:t>
      </w:r>
    </w:p>
    <w:p w:rsidR="00EE080D" w:rsidRDefault="00C04E08">
      <w:pPr>
        <w:spacing w:line="360" w:lineRule="auto"/>
        <w:rPr>
          <w:rFonts w:ascii="宋体" w:hAnsi="宋体"/>
          <w:b/>
          <w:szCs w:val="21"/>
        </w:rPr>
      </w:pPr>
      <w:r>
        <w:rPr>
          <w:b/>
          <w:szCs w:val="21"/>
        </w:rPr>
        <w:t>八</w:t>
      </w:r>
      <w:r>
        <w:rPr>
          <w:rFonts w:ascii="宋体" w:hAnsi="宋体"/>
          <w:b/>
          <w:szCs w:val="21"/>
        </w:rPr>
        <w:t>、重大分歧意见的处理经过和依据</w:t>
      </w:r>
    </w:p>
    <w:p w:rsidR="00EE080D" w:rsidRDefault="00C04E08">
      <w:pPr>
        <w:spacing w:line="360" w:lineRule="auto"/>
        <w:ind w:left="480"/>
        <w:rPr>
          <w:rFonts w:ascii="宋体" w:hAnsi="宋体"/>
          <w:sz w:val="24"/>
        </w:rPr>
      </w:pPr>
      <w:r>
        <w:rPr>
          <w:rFonts w:ascii="宋体" w:hAnsi="宋体" w:hint="eastAsia"/>
          <w:sz w:val="24"/>
        </w:rPr>
        <w:t>尚无。</w:t>
      </w:r>
    </w:p>
    <w:p w:rsidR="00EE080D" w:rsidRDefault="00C04E08">
      <w:pPr>
        <w:spacing w:line="360" w:lineRule="auto"/>
        <w:rPr>
          <w:rFonts w:ascii="宋体" w:hAnsi="宋体"/>
          <w:b/>
          <w:szCs w:val="21"/>
        </w:rPr>
      </w:pPr>
      <w:r>
        <w:rPr>
          <w:rFonts w:ascii="宋体" w:hAnsi="宋体"/>
          <w:b/>
          <w:szCs w:val="21"/>
        </w:rPr>
        <w:t>九、标准性质的建议说明</w:t>
      </w:r>
    </w:p>
    <w:p w:rsidR="00EE080D" w:rsidRDefault="00C04E08">
      <w:pPr>
        <w:spacing w:line="360" w:lineRule="auto"/>
        <w:ind w:firstLine="435"/>
        <w:rPr>
          <w:rFonts w:ascii="宋体" w:hAnsi="宋体"/>
          <w:szCs w:val="21"/>
        </w:rPr>
      </w:pPr>
      <w:r>
        <w:rPr>
          <w:rFonts w:ascii="宋体" w:hAnsi="宋体" w:hint="eastAsia"/>
          <w:szCs w:val="21"/>
        </w:rPr>
        <w:t>本标准为中国汽车工程学会标准，属于团体标准</w:t>
      </w:r>
      <w:r>
        <w:rPr>
          <w:rFonts w:ascii="宋体" w:hAnsi="宋体" w:hint="eastAsia"/>
          <w:szCs w:val="21"/>
        </w:rPr>
        <w:t>,</w:t>
      </w:r>
      <w:r>
        <w:rPr>
          <w:rFonts w:ascii="宋体" w:hAnsi="宋体" w:hint="eastAsia"/>
          <w:szCs w:val="21"/>
        </w:rPr>
        <w:t>供协会会员和社会自愿使用。</w:t>
      </w:r>
    </w:p>
    <w:p w:rsidR="00EE080D" w:rsidRDefault="00C04E08">
      <w:pPr>
        <w:spacing w:line="360" w:lineRule="auto"/>
        <w:rPr>
          <w:rFonts w:ascii="宋体" w:hAnsi="宋体"/>
          <w:b/>
          <w:szCs w:val="21"/>
        </w:rPr>
      </w:pPr>
      <w:r>
        <w:rPr>
          <w:rFonts w:ascii="宋体" w:hAnsi="宋体"/>
          <w:b/>
          <w:szCs w:val="21"/>
        </w:rPr>
        <w:t>十、贯彻标准的要求和措施建议</w:t>
      </w:r>
    </w:p>
    <w:p w:rsidR="00EE080D" w:rsidRDefault="00C04E08">
      <w:pPr>
        <w:widowControl/>
        <w:spacing w:line="360" w:lineRule="auto"/>
        <w:ind w:firstLineChars="200" w:firstLine="420"/>
        <w:jc w:val="left"/>
        <w:rPr>
          <w:rFonts w:ascii="宋体" w:hAnsi="宋体"/>
          <w:szCs w:val="21"/>
        </w:rPr>
      </w:pPr>
      <w:r>
        <w:rPr>
          <w:rFonts w:ascii="宋体" w:hAnsi="宋体" w:hint="eastAsia"/>
          <w:szCs w:val="21"/>
        </w:rPr>
        <w:t>无。</w:t>
      </w:r>
    </w:p>
    <w:p w:rsidR="00EE080D" w:rsidRDefault="00C04E08">
      <w:pPr>
        <w:spacing w:line="360" w:lineRule="auto"/>
        <w:rPr>
          <w:rFonts w:ascii="宋体" w:hAnsi="宋体"/>
          <w:szCs w:val="21"/>
        </w:rPr>
      </w:pPr>
      <w:r>
        <w:rPr>
          <w:rFonts w:ascii="宋体" w:hAnsi="宋体"/>
          <w:b/>
          <w:szCs w:val="21"/>
        </w:rPr>
        <w:t>十一、废止现行相关标准的建议</w:t>
      </w:r>
    </w:p>
    <w:p w:rsidR="00EE080D" w:rsidRDefault="00C04E08">
      <w:pPr>
        <w:spacing w:line="360" w:lineRule="auto"/>
        <w:ind w:firstLineChars="200" w:firstLine="420"/>
        <w:rPr>
          <w:rFonts w:ascii="宋体" w:hAnsi="宋体"/>
          <w:szCs w:val="21"/>
        </w:rPr>
      </w:pPr>
      <w:r>
        <w:rPr>
          <w:rFonts w:ascii="宋体" w:hAnsi="宋体"/>
          <w:szCs w:val="21"/>
        </w:rPr>
        <w:t>无</w:t>
      </w:r>
      <w:r>
        <w:rPr>
          <w:rFonts w:ascii="宋体" w:hAnsi="宋体" w:hint="eastAsia"/>
          <w:szCs w:val="21"/>
        </w:rPr>
        <w:t>。</w:t>
      </w:r>
    </w:p>
    <w:p w:rsidR="00EE080D" w:rsidRDefault="00C04E08">
      <w:pPr>
        <w:spacing w:line="360" w:lineRule="auto"/>
        <w:rPr>
          <w:rFonts w:ascii="宋体" w:hAnsi="宋体"/>
          <w:b/>
          <w:szCs w:val="21"/>
        </w:rPr>
      </w:pPr>
      <w:r>
        <w:rPr>
          <w:rFonts w:ascii="宋体" w:hAnsi="宋体"/>
          <w:b/>
          <w:szCs w:val="21"/>
        </w:rPr>
        <w:t>十</w:t>
      </w:r>
      <w:r>
        <w:rPr>
          <w:rFonts w:ascii="宋体" w:hAnsi="宋体" w:hint="eastAsia"/>
          <w:b/>
          <w:szCs w:val="21"/>
        </w:rPr>
        <w:t>二</w:t>
      </w:r>
      <w:r>
        <w:rPr>
          <w:rFonts w:ascii="宋体" w:hAnsi="宋体"/>
          <w:b/>
          <w:szCs w:val="21"/>
        </w:rPr>
        <w:t>、其他应予说明的事项</w:t>
      </w:r>
    </w:p>
    <w:p w:rsidR="00EE080D" w:rsidRDefault="00C04E08">
      <w:pPr>
        <w:spacing w:line="360" w:lineRule="auto"/>
        <w:ind w:firstLineChars="200" w:firstLine="420"/>
        <w:rPr>
          <w:rFonts w:ascii="宋体" w:hAnsi="宋体"/>
          <w:szCs w:val="21"/>
        </w:rPr>
      </w:pPr>
      <w:r>
        <w:rPr>
          <w:rFonts w:ascii="宋体" w:hAnsi="宋体" w:hint="eastAsia"/>
          <w:szCs w:val="21"/>
        </w:rPr>
        <w:t>无。</w:t>
      </w:r>
    </w:p>
    <w:p w:rsidR="00EE080D" w:rsidRDefault="00EE080D">
      <w:pPr>
        <w:spacing w:line="360" w:lineRule="auto"/>
        <w:ind w:firstLineChars="200" w:firstLine="420"/>
        <w:rPr>
          <w:rFonts w:ascii="宋体" w:hAnsi="宋体"/>
          <w:szCs w:val="21"/>
        </w:rPr>
      </w:pPr>
    </w:p>
    <w:p w:rsidR="00EE080D" w:rsidRDefault="00EE080D">
      <w:pPr>
        <w:spacing w:line="360" w:lineRule="auto"/>
        <w:ind w:firstLineChars="200" w:firstLine="420"/>
        <w:rPr>
          <w:rFonts w:ascii="宋体" w:hAnsi="宋体"/>
          <w:szCs w:val="21"/>
        </w:rPr>
      </w:pPr>
    </w:p>
    <w:p w:rsidR="00EE080D" w:rsidRDefault="00C04E08">
      <w:pPr>
        <w:jc w:val="right"/>
        <w:rPr>
          <w:rFonts w:ascii="宋体" w:hAnsi="宋体"/>
          <w:kern w:val="0"/>
          <w:sz w:val="24"/>
        </w:rPr>
      </w:pPr>
      <w:r>
        <w:rPr>
          <w:rFonts w:ascii="宋体" w:hAnsi="宋体" w:hint="eastAsia"/>
          <w:kern w:val="0"/>
          <w:sz w:val="24"/>
        </w:rPr>
        <w:t>标准起草工作组</w:t>
      </w:r>
    </w:p>
    <w:p w:rsidR="00EE080D" w:rsidRDefault="00C04E08">
      <w:pPr>
        <w:ind w:left="450"/>
        <w:jc w:val="right"/>
        <w:rPr>
          <w:rFonts w:ascii="宋体" w:hAnsi="宋体"/>
          <w:sz w:val="24"/>
        </w:rPr>
      </w:pPr>
      <w:r>
        <w:rPr>
          <w:rFonts w:ascii="宋体" w:hAnsi="宋体" w:hint="eastAsia"/>
          <w:sz w:val="24"/>
        </w:rPr>
        <w:t>201</w:t>
      </w:r>
      <w:r>
        <w:rPr>
          <w:rFonts w:ascii="宋体" w:hAnsi="宋体" w:hint="eastAsia"/>
          <w:sz w:val="24"/>
        </w:rPr>
        <w:t>9</w:t>
      </w:r>
      <w:r>
        <w:rPr>
          <w:rFonts w:ascii="宋体" w:hAnsi="宋体" w:hint="eastAsia"/>
          <w:sz w:val="24"/>
        </w:rPr>
        <w:t>年</w:t>
      </w:r>
      <w:r>
        <w:rPr>
          <w:rFonts w:ascii="宋体" w:hAnsi="宋体" w:hint="eastAsia"/>
          <w:sz w:val="24"/>
        </w:rPr>
        <w:t>8</w:t>
      </w:r>
      <w:r>
        <w:rPr>
          <w:rFonts w:ascii="宋体" w:hAnsi="宋体" w:hint="eastAsia"/>
          <w:sz w:val="24"/>
        </w:rPr>
        <w:t>月</w:t>
      </w:r>
      <w:r>
        <w:rPr>
          <w:rFonts w:ascii="宋体" w:hAnsi="宋体" w:hint="eastAsia"/>
          <w:sz w:val="24"/>
        </w:rPr>
        <w:t>3</w:t>
      </w:r>
      <w:r>
        <w:rPr>
          <w:rFonts w:ascii="宋体" w:hAnsi="宋体"/>
          <w:sz w:val="24"/>
        </w:rPr>
        <w:t>0</w:t>
      </w:r>
      <w:r>
        <w:rPr>
          <w:rFonts w:ascii="宋体" w:hAnsi="宋体" w:hint="eastAsia"/>
          <w:sz w:val="24"/>
        </w:rPr>
        <w:t>日</w:t>
      </w:r>
    </w:p>
    <w:p w:rsidR="00EE080D" w:rsidRDefault="00EE080D">
      <w:pPr>
        <w:ind w:left="450" w:right="120"/>
        <w:jc w:val="left"/>
        <w:rPr>
          <w:b/>
          <w:sz w:val="24"/>
        </w:rPr>
      </w:pPr>
    </w:p>
    <w:p w:rsidR="00EE080D" w:rsidRDefault="00C04E08">
      <w:pPr>
        <w:ind w:left="450" w:right="120"/>
        <w:jc w:val="left"/>
        <w:rPr>
          <w:b/>
          <w:sz w:val="24"/>
        </w:rPr>
      </w:pPr>
      <w:r>
        <w:rPr>
          <w:rFonts w:hint="eastAsia"/>
          <w:b/>
          <w:sz w:val="24"/>
        </w:rPr>
        <w:t>（注：具体内容可以结合项目本身撰写，如不涉及的可填写无）</w:t>
      </w:r>
    </w:p>
    <w:sectPr w:rsidR="00EE080D">
      <w:footerReference w:type="default" r:id="rId17"/>
      <w:pgSz w:w="11906" w:h="16838"/>
      <w:pgMar w:top="1247" w:right="1558" w:bottom="1077" w:left="1701" w:header="851" w:footer="992" w:gutter="0"/>
      <w:pgBorders>
        <w:top w:val="none" w:sz="0" w:space="1" w:color="auto"/>
        <w:left w:val="none" w:sz="0" w:space="4" w:color="auto"/>
        <w:bottom w:val="none" w:sz="0" w:space="1" w:color="auto"/>
        <w:right w:val="none" w:sz="0" w:space="4" w:color="auto"/>
      </w:pgBorder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E08" w:rsidRDefault="00C04E08">
      <w:r>
        <w:separator/>
      </w:r>
    </w:p>
  </w:endnote>
  <w:endnote w:type="continuationSeparator" w:id="0">
    <w:p w:rsidR="00C04E08" w:rsidRDefault="00C04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80D" w:rsidRDefault="00C04E08">
    <w:pPr>
      <w:pStyle w:val="a9"/>
      <w:jc w:val="right"/>
    </w:pPr>
    <w:r>
      <w:rPr>
        <w:rStyle w:val="ac"/>
      </w:rPr>
      <w:fldChar w:fldCharType="begin"/>
    </w:r>
    <w:r>
      <w:rPr>
        <w:rStyle w:val="ac"/>
      </w:rPr>
      <w:instrText xml:space="preserve"> PAGE </w:instrText>
    </w:r>
    <w:r>
      <w:rPr>
        <w:rStyle w:val="ac"/>
      </w:rPr>
      <w:fldChar w:fldCharType="separate"/>
    </w:r>
    <w:r w:rsidR="00584977">
      <w:rPr>
        <w:rStyle w:val="ac"/>
        <w:noProof/>
      </w:rPr>
      <w:t>5</w:t>
    </w:r>
    <w:r>
      <w:rPr>
        <w:rStyle w:val="a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E08" w:rsidRDefault="00C04E08">
      <w:r>
        <w:separator/>
      </w:r>
    </w:p>
  </w:footnote>
  <w:footnote w:type="continuationSeparator" w:id="0">
    <w:p w:rsidR="00C04E08" w:rsidRDefault="00C04E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68968F"/>
    <w:multiLevelType w:val="singleLevel"/>
    <w:tmpl w:val="5D68968F"/>
    <w:lvl w:ilvl="0">
      <w:start w:val="2"/>
      <w:numFmt w:val="decimal"/>
      <w:suff w:val="nothing"/>
      <w:lvlText w:val="%1、"/>
      <w:lvlJc w:val="left"/>
    </w:lvl>
  </w:abstractNum>
  <w:abstractNum w:abstractNumId="1">
    <w:nsid w:val="5D68973B"/>
    <w:multiLevelType w:val="singleLevel"/>
    <w:tmpl w:val="5D68973B"/>
    <w:lvl w:ilvl="0">
      <w:start w:val="3"/>
      <w:numFmt w:val="decimal"/>
      <w:suff w:val="nothing"/>
      <w:lvlText w:val="%1、"/>
      <w:lvlJc w:val="left"/>
    </w:lvl>
  </w:abstractNum>
  <w:abstractNum w:abstractNumId="2">
    <w:nsid w:val="5D68C984"/>
    <w:multiLevelType w:val="singleLevel"/>
    <w:tmpl w:val="5D68C984"/>
    <w:lvl w:ilvl="0">
      <w:start w:val="6"/>
      <w:numFmt w:val="chineseCounting"/>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BCB"/>
    <w:rsid w:val="00002F7C"/>
    <w:rsid w:val="000073CA"/>
    <w:rsid w:val="00011E10"/>
    <w:rsid w:val="0001386E"/>
    <w:rsid w:val="00016C4E"/>
    <w:rsid w:val="0002723C"/>
    <w:rsid w:val="00036B9C"/>
    <w:rsid w:val="000400BC"/>
    <w:rsid w:val="000459C6"/>
    <w:rsid w:val="00050D91"/>
    <w:rsid w:val="000727B3"/>
    <w:rsid w:val="00074F80"/>
    <w:rsid w:val="0007797A"/>
    <w:rsid w:val="00082CF2"/>
    <w:rsid w:val="00092C24"/>
    <w:rsid w:val="000A0B6A"/>
    <w:rsid w:val="000A126A"/>
    <w:rsid w:val="000A443E"/>
    <w:rsid w:val="000A724F"/>
    <w:rsid w:val="000B00F0"/>
    <w:rsid w:val="000B0ACB"/>
    <w:rsid w:val="000B63EB"/>
    <w:rsid w:val="000C2887"/>
    <w:rsid w:val="000C428F"/>
    <w:rsid w:val="000E1D08"/>
    <w:rsid w:val="000E6B6F"/>
    <w:rsid w:val="00103F3F"/>
    <w:rsid w:val="00110148"/>
    <w:rsid w:val="00110E57"/>
    <w:rsid w:val="00115D39"/>
    <w:rsid w:val="0011700C"/>
    <w:rsid w:val="00117496"/>
    <w:rsid w:val="001212F5"/>
    <w:rsid w:val="001224AF"/>
    <w:rsid w:val="00131B34"/>
    <w:rsid w:val="0013522F"/>
    <w:rsid w:val="00147ED3"/>
    <w:rsid w:val="0015529C"/>
    <w:rsid w:val="00157617"/>
    <w:rsid w:val="00166453"/>
    <w:rsid w:val="0017121B"/>
    <w:rsid w:val="0017331E"/>
    <w:rsid w:val="001740FD"/>
    <w:rsid w:val="0017586A"/>
    <w:rsid w:val="00181BE1"/>
    <w:rsid w:val="00182B5E"/>
    <w:rsid w:val="001858C2"/>
    <w:rsid w:val="001A6853"/>
    <w:rsid w:val="001B35C6"/>
    <w:rsid w:val="001B43E9"/>
    <w:rsid w:val="001B7EB0"/>
    <w:rsid w:val="001C753E"/>
    <w:rsid w:val="001F57DC"/>
    <w:rsid w:val="00205F8F"/>
    <w:rsid w:val="00235011"/>
    <w:rsid w:val="00244E2F"/>
    <w:rsid w:val="002523B3"/>
    <w:rsid w:val="00254CCC"/>
    <w:rsid w:val="0026001B"/>
    <w:rsid w:val="0026577A"/>
    <w:rsid w:val="00275399"/>
    <w:rsid w:val="00276112"/>
    <w:rsid w:val="00283587"/>
    <w:rsid w:val="00286ACA"/>
    <w:rsid w:val="00292E6D"/>
    <w:rsid w:val="002A0C48"/>
    <w:rsid w:val="002A3B55"/>
    <w:rsid w:val="002A616B"/>
    <w:rsid w:val="002C1939"/>
    <w:rsid w:val="002C5FA6"/>
    <w:rsid w:val="002D1C4C"/>
    <w:rsid w:val="002D7AB4"/>
    <w:rsid w:val="002E34CA"/>
    <w:rsid w:val="002F2292"/>
    <w:rsid w:val="003067EA"/>
    <w:rsid w:val="00312649"/>
    <w:rsid w:val="00322DCA"/>
    <w:rsid w:val="00324C6C"/>
    <w:rsid w:val="00325D73"/>
    <w:rsid w:val="00327359"/>
    <w:rsid w:val="00330709"/>
    <w:rsid w:val="00330AD4"/>
    <w:rsid w:val="00331131"/>
    <w:rsid w:val="00335597"/>
    <w:rsid w:val="00335776"/>
    <w:rsid w:val="00343A31"/>
    <w:rsid w:val="00343D6E"/>
    <w:rsid w:val="00347D7E"/>
    <w:rsid w:val="00356E0A"/>
    <w:rsid w:val="00365698"/>
    <w:rsid w:val="00366B41"/>
    <w:rsid w:val="003716E7"/>
    <w:rsid w:val="00373B5F"/>
    <w:rsid w:val="0038279E"/>
    <w:rsid w:val="00392BAF"/>
    <w:rsid w:val="003A5108"/>
    <w:rsid w:val="003B6405"/>
    <w:rsid w:val="003C38F6"/>
    <w:rsid w:val="003D033A"/>
    <w:rsid w:val="003D1C01"/>
    <w:rsid w:val="003D26D3"/>
    <w:rsid w:val="003D3E0E"/>
    <w:rsid w:val="003F0D0C"/>
    <w:rsid w:val="003F1BE9"/>
    <w:rsid w:val="00400CF0"/>
    <w:rsid w:val="00410D32"/>
    <w:rsid w:val="00414D23"/>
    <w:rsid w:val="00455FE9"/>
    <w:rsid w:val="004573B4"/>
    <w:rsid w:val="00460F0F"/>
    <w:rsid w:val="00461F48"/>
    <w:rsid w:val="00462A94"/>
    <w:rsid w:val="00474FC7"/>
    <w:rsid w:val="00480E1D"/>
    <w:rsid w:val="00482B98"/>
    <w:rsid w:val="00485000"/>
    <w:rsid w:val="00486AE8"/>
    <w:rsid w:val="004C7913"/>
    <w:rsid w:val="004D4C69"/>
    <w:rsid w:val="004E7DB0"/>
    <w:rsid w:val="004F110D"/>
    <w:rsid w:val="004F6B5D"/>
    <w:rsid w:val="0050192F"/>
    <w:rsid w:val="00517C9B"/>
    <w:rsid w:val="00521699"/>
    <w:rsid w:val="0052398F"/>
    <w:rsid w:val="00525206"/>
    <w:rsid w:val="00537006"/>
    <w:rsid w:val="00537F38"/>
    <w:rsid w:val="0054369E"/>
    <w:rsid w:val="0054619A"/>
    <w:rsid w:val="00555758"/>
    <w:rsid w:val="005619C0"/>
    <w:rsid w:val="005647A6"/>
    <w:rsid w:val="00581E8D"/>
    <w:rsid w:val="00584977"/>
    <w:rsid w:val="00591B08"/>
    <w:rsid w:val="00591C27"/>
    <w:rsid w:val="005931FE"/>
    <w:rsid w:val="00597304"/>
    <w:rsid w:val="0059734C"/>
    <w:rsid w:val="005B22A5"/>
    <w:rsid w:val="005C3E6D"/>
    <w:rsid w:val="005D1DE7"/>
    <w:rsid w:val="005D36A3"/>
    <w:rsid w:val="005E11E6"/>
    <w:rsid w:val="005E7785"/>
    <w:rsid w:val="005F1BB2"/>
    <w:rsid w:val="005F4298"/>
    <w:rsid w:val="005F43D4"/>
    <w:rsid w:val="005F6D0E"/>
    <w:rsid w:val="005F77E7"/>
    <w:rsid w:val="00600DC3"/>
    <w:rsid w:val="006031DD"/>
    <w:rsid w:val="00605584"/>
    <w:rsid w:val="0062538E"/>
    <w:rsid w:val="0063021F"/>
    <w:rsid w:val="00635DFD"/>
    <w:rsid w:val="00640A18"/>
    <w:rsid w:val="00643F1E"/>
    <w:rsid w:val="00646FB4"/>
    <w:rsid w:val="0065406F"/>
    <w:rsid w:val="0065796A"/>
    <w:rsid w:val="00657A3C"/>
    <w:rsid w:val="00661F2C"/>
    <w:rsid w:val="00673F57"/>
    <w:rsid w:val="006979F9"/>
    <w:rsid w:val="006B6E2C"/>
    <w:rsid w:val="006C122A"/>
    <w:rsid w:val="006C3F9F"/>
    <w:rsid w:val="006C6A66"/>
    <w:rsid w:val="006D2CB9"/>
    <w:rsid w:val="006D63BA"/>
    <w:rsid w:val="00705A89"/>
    <w:rsid w:val="00706245"/>
    <w:rsid w:val="00716599"/>
    <w:rsid w:val="007255C6"/>
    <w:rsid w:val="00727C02"/>
    <w:rsid w:val="00734FB0"/>
    <w:rsid w:val="00742B33"/>
    <w:rsid w:val="00744852"/>
    <w:rsid w:val="007457EB"/>
    <w:rsid w:val="007466F5"/>
    <w:rsid w:val="007505EE"/>
    <w:rsid w:val="00751658"/>
    <w:rsid w:val="007544CC"/>
    <w:rsid w:val="0076272E"/>
    <w:rsid w:val="00773F7F"/>
    <w:rsid w:val="00786911"/>
    <w:rsid w:val="007A0EBA"/>
    <w:rsid w:val="007A1224"/>
    <w:rsid w:val="007B13C8"/>
    <w:rsid w:val="007C3B08"/>
    <w:rsid w:val="007E1EB7"/>
    <w:rsid w:val="007E301F"/>
    <w:rsid w:val="007F1E7F"/>
    <w:rsid w:val="007F7E59"/>
    <w:rsid w:val="00801431"/>
    <w:rsid w:val="008033AA"/>
    <w:rsid w:val="00810794"/>
    <w:rsid w:val="008137FC"/>
    <w:rsid w:val="00820FCE"/>
    <w:rsid w:val="00826F14"/>
    <w:rsid w:val="008274A1"/>
    <w:rsid w:val="008279D0"/>
    <w:rsid w:val="00832A6A"/>
    <w:rsid w:val="00834C79"/>
    <w:rsid w:val="008371A6"/>
    <w:rsid w:val="00840552"/>
    <w:rsid w:val="0084092C"/>
    <w:rsid w:val="00842AD1"/>
    <w:rsid w:val="008452EC"/>
    <w:rsid w:val="00853457"/>
    <w:rsid w:val="008664EA"/>
    <w:rsid w:val="00867421"/>
    <w:rsid w:val="00873865"/>
    <w:rsid w:val="00873F2E"/>
    <w:rsid w:val="0088462F"/>
    <w:rsid w:val="008A358F"/>
    <w:rsid w:val="008B0496"/>
    <w:rsid w:val="008B1603"/>
    <w:rsid w:val="008B3F97"/>
    <w:rsid w:val="008B7B04"/>
    <w:rsid w:val="008C6BD9"/>
    <w:rsid w:val="008D3795"/>
    <w:rsid w:val="008E2AAA"/>
    <w:rsid w:val="008E6076"/>
    <w:rsid w:val="008F1215"/>
    <w:rsid w:val="008F1CDC"/>
    <w:rsid w:val="0090202B"/>
    <w:rsid w:val="009165E0"/>
    <w:rsid w:val="00935274"/>
    <w:rsid w:val="00935591"/>
    <w:rsid w:val="00940FC7"/>
    <w:rsid w:val="00955D38"/>
    <w:rsid w:val="009672F9"/>
    <w:rsid w:val="00974578"/>
    <w:rsid w:val="00977284"/>
    <w:rsid w:val="009816DA"/>
    <w:rsid w:val="00983150"/>
    <w:rsid w:val="00985ABA"/>
    <w:rsid w:val="009920A5"/>
    <w:rsid w:val="00993E33"/>
    <w:rsid w:val="009B2DCC"/>
    <w:rsid w:val="009B3EB4"/>
    <w:rsid w:val="009C2B2B"/>
    <w:rsid w:val="009D5246"/>
    <w:rsid w:val="009E4AB6"/>
    <w:rsid w:val="009E6199"/>
    <w:rsid w:val="009F4C85"/>
    <w:rsid w:val="009F77DB"/>
    <w:rsid w:val="009F7F44"/>
    <w:rsid w:val="00A0113A"/>
    <w:rsid w:val="00A020CE"/>
    <w:rsid w:val="00A0519F"/>
    <w:rsid w:val="00A05307"/>
    <w:rsid w:val="00A17EF3"/>
    <w:rsid w:val="00A26C46"/>
    <w:rsid w:val="00A32262"/>
    <w:rsid w:val="00A431C8"/>
    <w:rsid w:val="00A542C5"/>
    <w:rsid w:val="00A623DF"/>
    <w:rsid w:val="00A7433B"/>
    <w:rsid w:val="00A8498E"/>
    <w:rsid w:val="00A85C84"/>
    <w:rsid w:val="00AB65F3"/>
    <w:rsid w:val="00AC3CFD"/>
    <w:rsid w:val="00AD065A"/>
    <w:rsid w:val="00AD533A"/>
    <w:rsid w:val="00AE6155"/>
    <w:rsid w:val="00B00098"/>
    <w:rsid w:val="00B00E82"/>
    <w:rsid w:val="00B0195E"/>
    <w:rsid w:val="00B07D9B"/>
    <w:rsid w:val="00B111C2"/>
    <w:rsid w:val="00B11B22"/>
    <w:rsid w:val="00B15587"/>
    <w:rsid w:val="00B220F2"/>
    <w:rsid w:val="00B23588"/>
    <w:rsid w:val="00B2712C"/>
    <w:rsid w:val="00B27403"/>
    <w:rsid w:val="00B31F42"/>
    <w:rsid w:val="00B40A90"/>
    <w:rsid w:val="00B40C94"/>
    <w:rsid w:val="00B421ED"/>
    <w:rsid w:val="00B43BDD"/>
    <w:rsid w:val="00B6037E"/>
    <w:rsid w:val="00B64DB7"/>
    <w:rsid w:val="00B6755E"/>
    <w:rsid w:val="00B77789"/>
    <w:rsid w:val="00B8056A"/>
    <w:rsid w:val="00B81E53"/>
    <w:rsid w:val="00B85C18"/>
    <w:rsid w:val="00BA52A8"/>
    <w:rsid w:val="00BA74C0"/>
    <w:rsid w:val="00BC63D9"/>
    <w:rsid w:val="00BD6C45"/>
    <w:rsid w:val="00BE4430"/>
    <w:rsid w:val="00BE5120"/>
    <w:rsid w:val="00BE58D8"/>
    <w:rsid w:val="00BE79F8"/>
    <w:rsid w:val="00C04E08"/>
    <w:rsid w:val="00C0645D"/>
    <w:rsid w:val="00C216AA"/>
    <w:rsid w:val="00C23702"/>
    <w:rsid w:val="00C27A61"/>
    <w:rsid w:val="00C31ECD"/>
    <w:rsid w:val="00C34257"/>
    <w:rsid w:val="00C37936"/>
    <w:rsid w:val="00C420DF"/>
    <w:rsid w:val="00C43034"/>
    <w:rsid w:val="00C4355C"/>
    <w:rsid w:val="00C506E7"/>
    <w:rsid w:val="00C50FD4"/>
    <w:rsid w:val="00C53066"/>
    <w:rsid w:val="00C5377B"/>
    <w:rsid w:val="00C62984"/>
    <w:rsid w:val="00C652B5"/>
    <w:rsid w:val="00C738FC"/>
    <w:rsid w:val="00C82464"/>
    <w:rsid w:val="00C86C74"/>
    <w:rsid w:val="00C921F1"/>
    <w:rsid w:val="00C97CC9"/>
    <w:rsid w:val="00CA629D"/>
    <w:rsid w:val="00CB21B9"/>
    <w:rsid w:val="00CC40AA"/>
    <w:rsid w:val="00CD630C"/>
    <w:rsid w:val="00CE006B"/>
    <w:rsid w:val="00CE051F"/>
    <w:rsid w:val="00CE549D"/>
    <w:rsid w:val="00CE7915"/>
    <w:rsid w:val="00CF288A"/>
    <w:rsid w:val="00CF769E"/>
    <w:rsid w:val="00D04361"/>
    <w:rsid w:val="00D10990"/>
    <w:rsid w:val="00D15320"/>
    <w:rsid w:val="00D26FC4"/>
    <w:rsid w:val="00D27640"/>
    <w:rsid w:val="00D645C6"/>
    <w:rsid w:val="00D719B3"/>
    <w:rsid w:val="00D72489"/>
    <w:rsid w:val="00D74D68"/>
    <w:rsid w:val="00D77943"/>
    <w:rsid w:val="00D837F9"/>
    <w:rsid w:val="00D87EBA"/>
    <w:rsid w:val="00DA6108"/>
    <w:rsid w:val="00DB2AB2"/>
    <w:rsid w:val="00DB74E6"/>
    <w:rsid w:val="00DD0DC5"/>
    <w:rsid w:val="00DD12BD"/>
    <w:rsid w:val="00DD47D1"/>
    <w:rsid w:val="00DD6821"/>
    <w:rsid w:val="00DF13DB"/>
    <w:rsid w:val="00DF3295"/>
    <w:rsid w:val="00E02C65"/>
    <w:rsid w:val="00E142FB"/>
    <w:rsid w:val="00E150DE"/>
    <w:rsid w:val="00E15D27"/>
    <w:rsid w:val="00E1681C"/>
    <w:rsid w:val="00E17991"/>
    <w:rsid w:val="00E2710A"/>
    <w:rsid w:val="00E3078F"/>
    <w:rsid w:val="00E3132E"/>
    <w:rsid w:val="00E36700"/>
    <w:rsid w:val="00E463E1"/>
    <w:rsid w:val="00E56FCA"/>
    <w:rsid w:val="00E57210"/>
    <w:rsid w:val="00E619EB"/>
    <w:rsid w:val="00E64388"/>
    <w:rsid w:val="00E73AC3"/>
    <w:rsid w:val="00E75716"/>
    <w:rsid w:val="00E7683E"/>
    <w:rsid w:val="00E80AFE"/>
    <w:rsid w:val="00E84E85"/>
    <w:rsid w:val="00E919C4"/>
    <w:rsid w:val="00E961FE"/>
    <w:rsid w:val="00E97CF3"/>
    <w:rsid w:val="00EA1A78"/>
    <w:rsid w:val="00EA5B55"/>
    <w:rsid w:val="00EB747C"/>
    <w:rsid w:val="00ED4C65"/>
    <w:rsid w:val="00ED4F08"/>
    <w:rsid w:val="00ED5998"/>
    <w:rsid w:val="00EE080D"/>
    <w:rsid w:val="00EF0158"/>
    <w:rsid w:val="00F05235"/>
    <w:rsid w:val="00F06780"/>
    <w:rsid w:val="00F12D1A"/>
    <w:rsid w:val="00F204BB"/>
    <w:rsid w:val="00F23C13"/>
    <w:rsid w:val="00F26BCD"/>
    <w:rsid w:val="00F278C5"/>
    <w:rsid w:val="00F41834"/>
    <w:rsid w:val="00F41ADF"/>
    <w:rsid w:val="00F500AC"/>
    <w:rsid w:val="00F50DBB"/>
    <w:rsid w:val="00F50FC5"/>
    <w:rsid w:val="00F63F3C"/>
    <w:rsid w:val="00F72138"/>
    <w:rsid w:val="00F752EC"/>
    <w:rsid w:val="00F75FE9"/>
    <w:rsid w:val="00F84501"/>
    <w:rsid w:val="00F95BCE"/>
    <w:rsid w:val="00FA22AC"/>
    <w:rsid w:val="00FC2CD1"/>
    <w:rsid w:val="00FC3F52"/>
    <w:rsid w:val="00FC54A2"/>
    <w:rsid w:val="00FD1921"/>
    <w:rsid w:val="00FF0FA4"/>
    <w:rsid w:val="00FF2BCB"/>
    <w:rsid w:val="00FF5612"/>
    <w:rsid w:val="00FF7F17"/>
    <w:rsid w:val="07187C5C"/>
    <w:rsid w:val="0AA01A0D"/>
    <w:rsid w:val="12EA1111"/>
    <w:rsid w:val="1F4D415C"/>
    <w:rsid w:val="1F6B07C2"/>
    <w:rsid w:val="270672D8"/>
    <w:rsid w:val="27D16CF6"/>
    <w:rsid w:val="2DCC6B51"/>
    <w:rsid w:val="33CD1B6A"/>
    <w:rsid w:val="345C1B53"/>
    <w:rsid w:val="3958676B"/>
    <w:rsid w:val="3AE72165"/>
    <w:rsid w:val="3BA15A96"/>
    <w:rsid w:val="3D56005E"/>
    <w:rsid w:val="433C64C7"/>
    <w:rsid w:val="438A7DF7"/>
    <w:rsid w:val="477A4F11"/>
    <w:rsid w:val="47B66A54"/>
    <w:rsid w:val="481D463D"/>
    <w:rsid w:val="49913E16"/>
    <w:rsid w:val="4AE836B8"/>
    <w:rsid w:val="4B1952FD"/>
    <w:rsid w:val="4E843C06"/>
    <w:rsid w:val="5E811C75"/>
    <w:rsid w:val="6B362C54"/>
    <w:rsid w:val="6DBD0E80"/>
    <w:rsid w:val="72F4191D"/>
    <w:rsid w:val="75105D20"/>
    <w:rsid w:val="75916055"/>
    <w:rsid w:val="78A6222C"/>
    <w:rsid w:val="7B705D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34334AE6-DDE8-4E6C-8141-9D298E69E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Body Text Indent"/>
    <w:basedOn w:val="a"/>
    <w:qFormat/>
    <w:pPr>
      <w:ind w:firstLineChars="200" w:firstLine="420"/>
    </w:pPr>
  </w:style>
  <w:style w:type="paragraph" w:styleId="a6">
    <w:name w:val="Plain Text"/>
    <w:basedOn w:val="a"/>
    <w:link w:val="Char1"/>
    <w:uiPriority w:val="99"/>
    <w:unhideWhenUsed/>
    <w:qFormat/>
    <w:pPr>
      <w:widowControl/>
      <w:spacing w:before="100" w:beforeAutospacing="1" w:after="100" w:afterAutospacing="1"/>
      <w:jc w:val="left"/>
    </w:pPr>
    <w:rPr>
      <w:rFonts w:ascii="宋体" w:hAnsi="宋体" w:cs="宋体"/>
      <w:kern w:val="0"/>
      <w:sz w:val="24"/>
    </w:rPr>
  </w:style>
  <w:style w:type="paragraph" w:styleId="a7">
    <w:name w:val="Date"/>
    <w:basedOn w:val="a"/>
    <w:next w:val="a"/>
    <w:link w:val="Char2"/>
    <w:qFormat/>
    <w:pPr>
      <w:ind w:leftChars="2500" w:left="100"/>
    </w:pPr>
  </w:style>
  <w:style w:type="paragraph" w:styleId="2">
    <w:name w:val="Body Text Indent 2"/>
    <w:basedOn w:val="a"/>
    <w:qFormat/>
    <w:pPr>
      <w:ind w:firstLineChars="200" w:firstLine="560"/>
    </w:pPr>
    <w:rPr>
      <w:rFonts w:ascii="宋体" w:hAnsi="宋体"/>
      <w:sz w:val="28"/>
    </w:rPr>
  </w:style>
  <w:style w:type="paragraph" w:styleId="a8">
    <w:name w:val="Balloon Text"/>
    <w:basedOn w:val="a"/>
    <w:link w:val="Char3"/>
    <w:qFormat/>
    <w:rPr>
      <w:sz w:val="18"/>
      <w:szCs w:val="18"/>
    </w:rPr>
  </w:style>
  <w:style w:type="paragraph" w:styleId="a9">
    <w:name w:val="footer"/>
    <w:basedOn w:val="a"/>
    <w:link w:val="Char4"/>
    <w:qFormat/>
    <w:pPr>
      <w:tabs>
        <w:tab w:val="center" w:pos="4153"/>
        <w:tab w:val="right" w:pos="8306"/>
      </w:tabs>
      <w:snapToGrid w:val="0"/>
      <w:jc w:val="left"/>
    </w:pPr>
    <w:rPr>
      <w:sz w:val="18"/>
      <w:szCs w:val="18"/>
    </w:rPr>
  </w:style>
  <w:style w:type="paragraph" w:styleId="aa">
    <w:name w:val="header"/>
    <w:basedOn w:val="a"/>
    <w:link w:val="Char5"/>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c">
    <w:name w:val="page number"/>
    <w:basedOn w:val="a0"/>
    <w:qFormat/>
  </w:style>
  <w:style w:type="character" w:styleId="ad">
    <w:name w:val="annotation reference"/>
    <w:qFormat/>
    <w:rPr>
      <w:sz w:val="21"/>
      <w:szCs w:val="21"/>
    </w:rPr>
  </w:style>
  <w:style w:type="table" w:styleId="ae">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段"/>
    <w:qFormat/>
    <w:pPr>
      <w:autoSpaceDE w:val="0"/>
      <w:autoSpaceDN w:val="0"/>
      <w:ind w:firstLineChars="200" w:firstLine="200"/>
      <w:jc w:val="both"/>
    </w:pPr>
    <w:rPr>
      <w:rFonts w:ascii="宋体"/>
      <w:sz w:val="21"/>
    </w:rPr>
  </w:style>
  <w:style w:type="paragraph" w:customStyle="1" w:styleId="1">
    <w:name w:val="封面标准号1"/>
    <w:qFormat/>
    <w:pPr>
      <w:widowControl w:val="0"/>
      <w:kinsoku w:val="0"/>
      <w:overflowPunct w:val="0"/>
      <w:autoSpaceDE w:val="0"/>
      <w:autoSpaceDN w:val="0"/>
      <w:spacing w:before="308"/>
      <w:jc w:val="right"/>
      <w:textAlignment w:val="center"/>
    </w:pPr>
    <w:rPr>
      <w:sz w:val="28"/>
    </w:rPr>
  </w:style>
  <w:style w:type="character" w:customStyle="1" w:styleId="Char5">
    <w:name w:val="页眉 Char"/>
    <w:link w:val="aa"/>
    <w:qFormat/>
    <w:rPr>
      <w:kern w:val="2"/>
      <w:sz w:val="18"/>
      <w:szCs w:val="18"/>
    </w:rPr>
  </w:style>
  <w:style w:type="character" w:customStyle="1" w:styleId="Char4">
    <w:name w:val="页脚 Char"/>
    <w:link w:val="a9"/>
    <w:qFormat/>
    <w:rPr>
      <w:kern w:val="2"/>
      <w:sz w:val="18"/>
      <w:szCs w:val="18"/>
    </w:rPr>
  </w:style>
  <w:style w:type="character" w:customStyle="1" w:styleId="Char1">
    <w:name w:val="纯文本 Char"/>
    <w:link w:val="a6"/>
    <w:uiPriority w:val="99"/>
    <w:qFormat/>
    <w:rPr>
      <w:rFonts w:ascii="宋体" w:hAnsi="宋体" w:cs="宋体"/>
      <w:sz w:val="24"/>
      <w:szCs w:val="24"/>
    </w:rPr>
  </w:style>
  <w:style w:type="character" w:customStyle="1" w:styleId="Char0">
    <w:name w:val="批注文字 Char"/>
    <w:link w:val="a4"/>
    <w:qFormat/>
    <w:rPr>
      <w:kern w:val="2"/>
      <w:sz w:val="21"/>
      <w:szCs w:val="24"/>
    </w:rPr>
  </w:style>
  <w:style w:type="character" w:customStyle="1" w:styleId="Char">
    <w:name w:val="批注主题 Char"/>
    <w:link w:val="a3"/>
    <w:qFormat/>
    <w:rPr>
      <w:b/>
      <w:bCs/>
      <w:kern w:val="2"/>
      <w:sz w:val="21"/>
      <w:szCs w:val="24"/>
    </w:rPr>
  </w:style>
  <w:style w:type="character" w:customStyle="1" w:styleId="Char3">
    <w:name w:val="批注框文本 Char"/>
    <w:link w:val="a8"/>
    <w:qFormat/>
    <w:rPr>
      <w:kern w:val="2"/>
      <w:sz w:val="18"/>
      <w:szCs w:val="18"/>
    </w:rPr>
  </w:style>
  <w:style w:type="paragraph" w:customStyle="1" w:styleId="10">
    <w:name w:val="修订1"/>
    <w:hidden/>
    <w:uiPriority w:val="99"/>
    <w:semiHidden/>
    <w:qFormat/>
    <w:rPr>
      <w:kern w:val="2"/>
      <w:sz w:val="21"/>
      <w:szCs w:val="24"/>
    </w:rPr>
  </w:style>
  <w:style w:type="character" w:customStyle="1" w:styleId="Char2">
    <w:name w:val="日期 Char"/>
    <w:link w:val="a7"/>
    <w:qFormat/>
    <w:rPr>
      <w:kern w:val="2"/>
      <w:sz w:val="21"/>
      <w:szCs w:val="24"/>
    </w:rPr>
  </w:style>
  <w:style w:type="paragraph" w:customStyle="1" w:styleId="11">
    <w:name w:val="列出段落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各试验腐蚀面积总计数据</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cat>
            <c:strRef>
              <c:f>[各试验涂层板结果数据分析20190411田冰星.xlsx]Sheet2!$C$3:$K$3</c:f>
              <c:strCache>
                <c:ptCount val="9"/>
                <c:pt idx="0">
                  <c:v>忠旺AASS</c:v>
                </c:pt>
                <c:pt idx="1">
                  <c:v>美信AASS</c:v>
                </c:pt>
                <c:pt idx="2">
                  <c:v>威凯cass</c:v>
                </c:pt>
                <c:pt idx="3">
                  <c:v>阿克苏cass</c:v>
                </c:pt>
                <c:pt idx="4">
                  <c:v>威凯filiform</c:v>
                </c:pt>
                <c:pt idx="5">
                  <c:v>北奔filiform</c:v>
                </c:pt>
                <c:pt idx="6">
                  <c:v>威凯catch</c:v>
                </c:pt>
                <c:pt idx="7">
                  <c:v>阿克苏catch</c:v>
                </c:pt>
                <c:pt idx="8">
                  <c:v>海南整车</c:v>
                </c:pt>
              </c:strCache>
            </c:strRef>
          </c:cat>
          <c:val>
            <c:numRef>
              <c:f>[各试验涂层板结果数据分析20190411田冰星.xlsx]Sheet2!$C$28:$K$28</c:f>
              <c:numCache>
                <c:formatCode>General</c:formatCode>
                <c:ptCount val="9"/>
                <c:pt idx="0">
                  <c:v>248.49</c:v>
                </c:pt>
                <c:pt idx="1">
                  <c:v>150.55000000000001</c:v>
                </c:pt>
                <c:pt idx="2">
                  <c:v>1033.125</c:v>
                </c:pt>
                <c:pt idx="3">
                  <c:v>1359.2249999999999</c:v>
                </c:pt>
                <c:pt idx="4">
                  <c:v>536</c:v>
                </c:pt>
                <c:pt idx="5">
                  <c:v>3332.4</c:v>
                </c:pt>
                <c:pt idx="6">
                  <c:v>41.825000000000003</c:v>
                </c:pt>
                <c:pt idx="7">
                  <c:v>153</c:v>
                </c:pt>
                <c:pt idx="8">
                  <c:v>42.2</c:v>
                </c:pt>
              </c:numCache>
            </c:numRef>
          </c:val>
        </c:ser>
        <c:dLbls>
          <c:showLegendKey val="0"/>
          <c:showVal val="0"/>
          <c:showCatName val="0"/>
          <c:showSerName val="0"/>
          <c:showPercent val="0"/>
          <c:showBubbleSize val="0"/>
        </c:dLbls>
        <c:gapWidth val="219"/>
        <c:overlap val="-27"/>
        <c:axId val="338491832"/>
        <c:axId val="338494184"/>
      </c:barChart>
      <c:catAx>
        <c:axId val="3384918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8494184"/>
        <c:crosses val="autoZero"/>
        <c:auto val="1"/>
        <c:lblAlgn val="ctr"/>
        <c:lblOffset val="100"/>
        <c:noMultiLvlLbl val="0"/>
      </c:catAx>
      <c:valAx>
        <c:axId val="338494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84918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dTable>
      <c:spPr>
        <a:pattFill prst="pct10">
          <a:fgClr>
            <a:schemeClr val="accent1"/>
          </a:fgClr>
          <a:bgClr>
            <a:schemeClr val="bg1"/>
          </a:bgClr>
        </a:patt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05E969-4D01-49EB-85F7-6D556E37D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1084</Words>
  <Characters>6179</Characters>
  <Application>Microsoft Office Word</Application>
  <DocSecurity>0</DocSecurity>
  <Lines>51</Lines>
  <Paragraphs>14</Paragraphs>
  <ScaleCrop>false</ScaleCrop>
  <Company>上海市青浦区质量技术监督局/标准化科</Company>
  <LinksUpToDate>false</LinksUpToDate>
  <CharactersWithSpaces>7249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企业标准备案所需材料(编制说明、审定纪要、专家名单,用A4纸按顺序正反面打印)</dc:title>
  <dc:creator>赵建新</dc:creator>
  <cp:lastModifiedBy>黄平</cp:lastModifiedBy>
  <cp:revision>1</cp:revision>
  <cp:lastPrinted>2010-07-13T10:30:00Z</cp:lastPrinted>
  <dcterms:created xsi:type="dcterms:W3CDTF">2018-07-26T02:38:00Z</dcterms:created>
  <dcterms:modified xsi:type="dcterms:W3CDTF">2019-09-10T01:55:00Z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