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5119" w14:textId="77777777" w:rsidR="001C646B" w:rsidRDefault="0093075E">
      <w:pPr>
        <w:spacing w:line="360" w:lineRule="auto"/>
        <w:jc w:val="center"/>
        <w:rPr>
          <w:rFonts w:ascii="黑体" w:eastAsia="黑体" w:hAnsi="黑体"/>
          <w:sz w:val="36"/>
          <w:szCs w:val="36"/>
        </w:rPr>
      </w:pPr>
      <w:r>
        <w:rPr>
          <w:rFonts w:ascii="黑体" w:eastAsia="黑体" w:hAnsi="黑体" w:hint="eastAsia"/>
          <w:sz w:val="36"/>
          <w:szCs w:val="36"/>
        </w:rPr>
        <w:t>《</w:t>
      </w:r>
      <w:r>
        <w:rPr>
          <w:rFonts w:ascii="黑体" w:eastAsia="黑体" w:hAnsi="黑体" w:hint="eastAsia"/>
          <w:sz w:val="36"/>
        </w:rPr>
        <w:t>电动汽车用驱动电机系统及电驱动总成能效等级和试验方法</w:t>
      </w:r>
      <w:r>
        <w:rPr>
          <w:rFonts w:ascii="黑体" w:eastAsia="黑体" w:hAnsi="黑体" w:hint="eastAsia"/>
          <w:sz w:val="36"/>
          <w:szCs w:val="36"/>
        </w:rPr>
        <w:t>》编制说明</w:t>
      </w:r>
    </w:p>
    <w:p w14:paraId="13071C41" w14:textId="77777777" w:rsidR="001C646B" w:rsidRDefault="0093075E">
      <w:pPr>
        <w:spacing w:line="360" w:lineRule="auto"/>
        <w:rPr>
          <w:rFonts w:ascii="Times New Roman" w:hAnsi="Times New Roman"/>
          <w:sz w:val="24"/>
          <w:szCs w:val="24"/>
        </w:rPr>
      </w:pPr>
      <w:r>
        <w:rPr>
          <w:rFonts w:ascii="Times New Roman" w:hAnsi="Times New Roman"/>
          <w:sz w:val="24"/>
          <w:szCs w:val="24"/>
        </w:rPr>
        <w:t>一、</w:t>
      </w:r>
      <w:r>
        <w:rPr>
          <w:rFonts w:ascii="Times New Roman" w:hAnsi="Times New Roman"/>
          <w:b/>
          <w:sz w:val="24"/>
          <w:szCs w:val="24"/>
        </w:rPr>
        <w:t>工作简况</w:t>
      </w:r>
    </w:p>
    <w:p w14:paraId="12D399DF" w14:textId="77777777" w:rsidR="001C646B" w:rsidRDefault="0093075E">
      <w:pPr>
        <w:spacing w:line="360" w:lineRule="auto"/>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、任务来源</w:t>
      </w:r>
    </w:p>
    <w:p w14:paraId="5AC2B296"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电动汽车的应用和推广，是目前节能、环保的发展需求。驱动电机系统及电驱动总成是电动汽车中最为重要的能量转换单元，是实现电力驱动的关键所在，其能量转换的效率、等级等，直接影响着车辆续驶里程、节能水平等。当前，国内外的相关标准法规基本聚焦于效率的测试方法，未定义出产品的能效等级划分，如</w:t>
      </w:r>
      <w:r>
        <w:rPr>
          <w:rFonts w:ascii="Times New Roman" w:hAnsi="Times New Roman" w:hint="eastAsia"/>
          <w:sz w:val="24"/>
          <w:szCs w:val="24"/>
        </w:rPr>
        <w:t>G</w:t>
      </w:r>
      <w:r>
        <w:rPr>
          <w:rFonts w:ascii="Times New Roman" w:hAnsi="Times New Roman"/>
          <w:sz w:val="24"/>
          <w:szCs w:val="24"/>
        </w:rPr>
        <w:t>B/T 18488-2015</w:t>
      </w:r>
      <w:r>
        <w:rPr>
          <w:rFonts w:ascii="Times New Roman" w:hAnsi="Times New Roman" w:hint="eastAsia"/>
          <w:sz w:val="24"/>
          <w:szCs w:val="24"/>
        </w:rPr>
        <w:t>即只给出了产品效率的测试要求，</w:t>
      </w:r>
      <w:r>
        <w:rPr>
          <w:rFonts w:ascii="Times New Roman" w:hAnsi="Times New Roman" w:hint="eastAsia"/>
          <w:sz w:val="24"/>
          <w:szCs w:val="24"/>
        </w:rPr>
        <w:t>E</w:t>
      </w:r>
      <w:r>
        <w:rPr>
          <w:rFonts w:ascii="Times New Roman" w:hAnsi="Times New Roman"/>
          <w:sz w:val="24"/>
          <w:szCs w:val="24"/>
        </w:rPr>
        <w:t>CE R85</w:t>
      </w:r>
      <w:r>
        <w:rPr>
          <w:rFonts w:ascii="Times New Roman" w:hAnsi="Times New Roman" w:hint="eastAsia"/>
          <w:sz w:val="24"/>
          <w:szCs w:val="24"/>
        </w:rPr>
        <w:t>及日本的部分法规甚至更为简单，未给出全转速、转矩范围内的效率测试。通过定义驱动电机系统及电驱动总成的能效等级及更为细致、统一的试验条件、试验方法，可以使相关产品“分门别类”，避免“良莠不齐”，引导企业和产品向高质量发展，推动电动汽车行业规范、健康发展。</w:t>
      </w:r>
    </w:p>
    <w:p w14:paraId="7A4A15A1"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中国汽车工程学会</w:t>
      </w:r>
      <w:r>
        <w:rPr>
          <w:rFonts w:ascii="Times New Roman" w:hAnsi="Times New Roman"/>
          <w:sz w:val="24"/>
          <w:szCs w:val="24"/>
        </w:rPr>
        <w:t>于</w:t>
      </w:r>
      <w:r>
        <w:rPr>
          <w:rFonts w:ascii="Times New Roman" w:hAnsi="Times New Roman"/>
          <w:sz w:val="24"/>
          <w:szCs w:val="24"/>
        </w:rPr>
        <w:t>2018</w:t>
      </w:r>
      <w:r>
        <w:rPr>
          <w:rFonts w:ascii="Times New Roman" w:hAnsi="Times New Roman"/>
          <w:sz w:val="24"/>
          <w:szCs w:val="24"/>
        </w:rPr>
        <w:t>年</w:t>
      </w:r>
      <w:r>
        <w:rPr>
          <w:rFonts w:ascii="Times New Roman" w:hAnsi="Times New Roman" w:hint="eastAsia"/>
          <w:sz w:val="24"/>
          <w:szCs w:val="24"/>
        </w:rPr>
        <w:t>月</w:t>
      </w:r>
      <w:r>
        <w:rPr>
          <w:rFonts w:ascii="Times New Roman" w:hAnsi="Times New Roman"/>
          <w:sz w:val="24"/>
          <w:szCs w:val="24"/>
        </w:rPr>
        <w:t>批准该项目立项，并将《</w:t>
      </w:r>
      <w:r>
        <w:rPr>
          <w:rFonts w:ascii="Times New Roman" w:hAnsi="Times New Roman" w:hint="eastAsia"/>
          <w:sz w:val="24"/>
          <w:szCs w:val="24"/>
        </w:rPr>
        <w:t>电动汽车用驱动电机系统及电驱动总成能效等级和试验方法</w:t>
      </w:r>
      <w:r>
        <w:rPr>
          <w:rFonts w:ascii="Times New Roman" w:hAnsi="Times New Roman"/>
          <w:sz w:val="24"/>
          <w:szCs w:val="24"/>
        </w:rPr>
        <w:t>》团体标准制定列入</w:t>
      </w:r>
      <w:r>
        <w:rPr>
          <w:rFonts w:ascii="Times New Roman" w:hAnsi="Times New Roman"/>
          <w:sz w:val="24"/>
          <w:szCs w:val="24"/>
        </w:rPr>
        <w:t>2018</w:t>
      </w:r>
      <w:r>
        <w:rPr>
          <w:rFonts w:ascii="Times New Roman" w:hAnsi="Times New Roman"/>
          <w:sz w:val="24"/>
          <w:szCs w:val="24"/>
        </w:rPr>
        <w:t>年计划，</w:t>
      </w:r>
      <w:r>
        <w:rPr>
          <w:rFonts w:ascii="Times New Roman" w:hAnsi="Times New Roman" w:hint="eastAsia"/>
          <w:sz w:val="24"/>
          <w:szCs w:val="24"/>
        </w:rPr>
        <w:t>立项通知</w:t>
      </w:r>
      <w:r>
        <w:rPr>
          <w:rFonts w:ascii="Times New Roman" w:hAnsi="Times New Roman"/>
          <w:sz w:val="24"/>
          <w:szCs w:val="24"/>
        </w:rPr>
        <w:t>编号：</w:t>
      </w:r>
      <w:r>
        <w:rPr>
          <w:rFonts w:ascii="Times New Roman" w:hAnsi="Times New Roman" w:hint="eastAsia"/>
          <w:sz w:val="24"/>
          <w:szCs w:val="24"/>
        </w:rPr>
        <w:t>2018-17</w:t>
      </w:r>
      <w:r>
        <w:rPr>
          <w:rFonts w:ascii="Times New Roman" w:hAnsi="Times New Roman" w:hint="eastAsia"/>
          <w:sz w:val="24"/>
          <w:szCs w:val="24"/>
        </w:rPr>
        <w:t>号</w:t>
      </w:r>
      <w:r>
        <w:rPr>
          <w:rFonts w:ascii="Times New Roman" w:hAnsi="Times New Roman"/>
          <w:sz w:val="24"/>
          <w:szCs w:val="24"/>
        </w:rPr>
        <w:t>。</w:t>
      </w:r>
    </w:p>
    <w:p w14:paraId="072CCC56" w14:textId="77777777" w:rsidR="001C646B" w:rsidRDefault="0093075E">
      <w:pPr>
        <w:spacing w:line="36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、工作过程</w:t>
      </w:r>
    </w:p>
    <w:p w14:paraId="5CA7A2AF" w14:textId="77777777" w:rsidR="001C646B" w:rsidRDefault="0093075E">
      <w:pPr>
        <w:spacing w:line="360" w:lineRule="auto"/>
        <w:ind w:firstLineChars="300" w:firstLine="720"/>
        <w:rPr>
          <w:rFonts w:ascii="Times New Roman" w:hAnsi="Times New Roman"/>
          <w:sz w:val="24"/>
          <w:szCs w:val="24"/>
        </w:rPr>
      </w:pP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月开始，组织行业力量广泛开展调研，与主机厂（北汽新能源</w:t>
      </w:r>
      <w:r>
        <w:rPr>
          <w:rFonts w:ascii="Times New Roman" w:hAnsi="Times New Roman" w:hint="eastAsia"/>
          <w:sz w:val="24"/>
          <w:szCs w:val="24"/>
        </w:rPr>
        <w:t>/</w:t>
      </w:r>
      <w:r>
        <w:rPr>
          <w:rFonts w:ascii="Times New Roman" w:hAnsi="Times New Roman" w:hint="eastAsia"/>
          <w:sz w:val="24"/>
          <w:szCs w:val="24"/>
        </w:rPr>
        <w:t>上汽捷能</w:t>
      </w:r>
      <w:r>
        <w:rPr>
          <w:rFonts w:ascii="Times New Roman" w:hAnsi="Times New Roman" w:hint="eastAsia"/>
          <w:sz w:val="24"/>
          <w:szCs w:val="24"/>
        </w:rPr>
        <w:t>/</w:t>
      </w:r>
      <w:r>
        <w:rPr>
          <w:rFonts w:ascii="Times New Roman" w:hAnsi="Times New Roman" w:hint="eastAsia"/>
          <w:sz w:val="24"/>
          <w:szCs w:val="24"/>
        </w:rPr>
        <w:t>比亚迪</w:t>
      </w:r>
      <w:r>
        <w:rPr>
          <w:rFonts w:ascii="Times New Roman" w:hAnsi="Times New Roman" w:hint="eastAsia"/>
          <w:sz w:val="24"/>
          <w:szCs w:val="24"/>
        </w:rPr>
        <w:t>/</w:t>
      </w:r>
      <w:r>
        <w:rPr>
          <w:rFonts w:ascii="Times New Roman" w:hAnsi="Times New Roman" w:hint="eastAsia"/>
          <w:sz w:val="24"/>
          <w:szCs w:val="24"/>
        </w:rPr>
        <w:t>吉利</w:t>
      </w:r>
      <w:r>
        <w:rPr>
          <w:rFonts w:ascii="Times New Roman" w:hAnsi="Times New Roman" w:hint="eastAsia"/>
          <w:sz w:val="24"/>
          <w:szCs w:val="24"/>
        </w:rPr>
        <w:t>/</w:t>
      </w:r>
      <w:proofErr w:type="gramStart"/>
      <w:r>
        <w:rPr>
          <w:rFonts w:ascii="Times New Roman" w:hAnsi="Times New Roman" w:hint="eastAsia"/>
          <w:sz w:val="24"/>
          <w:szCs w:val="24"/>
        </w:rPr>
        <w:t>广汽新能源</w:t>
      </w:r>
      <w:proofErr w:type="gramEnd"/>
      <w:r>
        <w:rPr>
          <w:rFonts w:ascii="Times New Roman" w:hAnsi="Times New Roman" w:hint="eastAsia"/>
          <w:sz w:val="24"/>
          <w:szCs w:val="24"/>
        </w:rPr>
        <w:t>）及零部件供应商（苏州汇川</w:t>
      </w:r>
      <w:r>
        <w:rPr>
          <w:rFonts w:ascii="Times New Roman" w:hAnsi="Times New Roman" w:hint="eastAsia"/>
          <w:sz w:val="24"/>
          <w:szCs w:val="24"/>
        </w:rPr>
        <w:t>/</w:t>
      </w:r>
      <w:r>
        <w:rPr>
          <w:rFonts w:ascii="Times New Roman" w:hAnsi="Times New Roman" w:hint="eastAsia"/>
          <w:sz w:val="24"/>
          <w:szCs w:val="24"/>
        </w:rPr>
        <w:t>合肥巨一）等交流能效测评方法。</w:t>
      </w:r>
    </w:p>
    <w:p w14:paraId="2618EA31" w14:textId="77777777" w:rsidR="001C646B" w:rsidRDefault="0093075E">
      <w:pPr>
        <w:spacing w:line="360" w:lineRule="auto"/>
        <w:ind w:firstLineChars="300" w:firstLine="720"/>
        <w:rPr>
          <w:rFonts w:ascii="Times New Roman" w:hAnsi="Times New Roman"/>
          <w:sz w:val="24"/>
          <w:szCs w:val="24"/>
        </w:rPr>
      </w:pP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10</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日，在浙江绍兴卧龙集团</w:t>
      </w:r>
      <w:r>
        <w:rPr>
          <w:rFonts w:ascii="Times New Roman" w:hAnsi="Times New Roman"/>
          <w:sz w:val="24"/>
          <w:szCs w:val="24"/>
        </w:rPr>
        <w:t xml:space="preserve"> </w:t>
      </w:r>
      <w:r>
        <w:rPr>
          <w:rFonts w:ascii="Times New Roman" w:hAnsi="Times New Roman" w:hint="eastAsia"/>
          <w:sz w:val="24"/>
          <w:szCs w:val="24"/>
        </w:rPr>
        <w:t>召开</w:t>
      </w:r>
      <w:proofErr w:type="gramStart"/>
      <w:r>
        <w:rPr>
          <w:rFonts w:ascii="Times New Roman" w:hAnsi="Times New Roman" w:hint="eastAsia"/>
          <w:sz w:val="24"/>
          <w:szCs w:val="24"/>
        </w:rPr>
        <w:t>《电动汽车用驱动电机系统及电驱动总成能效等级和试验方法》团标工作组</w:t>
      </w:r>
      <w:proofErr w:type="gramEnd"/>
      <w:r>
        <w:rPr>
          <w:rFonts w:ascii="Times New Roman" w:hAnsi="Times New Roman" w:hint="eastAsia"/>
          <w:sz w:val="24"/>
          <w:szCs w:val="24"/>
        </w:rPr>
        <w:t>启动会，中国汽车技术研究中心有限公司、重庆长安汽车股份有限公司、苏州汇川联合动力系统有限公司、国家新能源汽车技术创新中心、比亚迪汽车工业有限公司、北汽新能源汽车股份有限公司、上汽捷能汽车技术有限公司、吉利汽车研究院</w:t>
      </w:r>
      <w:r>
        <w:rPr>
          <w:rFonts w:ascii="Times New Roman" w:hAnsi="Times New Roman" w:hint="eastAsia"/>
          <w:sz w:val="24"/>
          <w:szCs w:val="24"/>
        </w:rPr>
        <w:t>(</w:t>
      </w:r>
      <w:r>
        <w:rPr>
          <w:rFonts w:ascii="Times New Roman" w:hAnsi="Times New Roman" w:hint="eastAsia"/>
          <w:sz w:val="24"/>
          <w:szCs w:val="24"/>
        </w:rPr>
        <w:t>宁波</w:t>
      </w:r>
      <w:r>
        <w:rPr>
          <w:rFonts w:ascii="Times New Roman" w:hAnsi="Times New Roman" w:hint="eastAsia"/>
          <w:sz w:val="24"/>
          <w:szCs w:val="24"/>
        </w:rPr>
        <w:t>)</w:t>
      </w:r>
      <w:r>
        <w:rPr>
          <w:rFonts w:ascii="Times New Roman" w:hAnsi="Times New Roman" w:hint="eastAsia"/>
          <w:sz w:val="24"/>
          <w:szCs w:val="24"/>
        </w:rPr>
        <w:t>有限公司、南京越博动力系统股份有限公司等各机构及企业的领导专家齐聚一堂，共同讨论商定标准制定工作。确认了标准适用范围为电动汽车用驱动电机系统、以及包括电机、变速装置等多种形式在内的电驱动总成，对仅具有发电功能的车用电机及其控制器可以参照本规范执行。同时也基本确认了测试项目与要求。</w:t>
      </w:r>
    </w:p>
    <w:p w14:paraId="24DD32BE" w14:textId="77777777" w:rsidR="001C646B" w:rsidRDefault="0093075E">
      <w:pPr>
        <w:spacing w:line="360" w:lineRule="auto"/>
        <w:ind w:firstLine="480"/>
        <w:rPr>
          <w:rFonts w:ascii="Times New Roman" w:hAnsi="Times New Roman"/>
          <w:sz w:val="24"/>
          <w:szCs w:val="24"/>
        </w:rPr>
      </w:pPr>
      <w:r>
        <w:rPr>
          <w:rFonts w:ascii="Times New Roman" w:hAnsi="Times New Roman" w:hint="eastAsia"/>
          <w:sz w:val="24"/>
          <w:szCs w:val="24"/>
        </w:rPr>
        <w:lastRenderedPageBreak/>
        <w:t>2018</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hint="eastAsia"/>
        </w:rPr>
        <w:t>0</w:t>
      </w:r>
      <w:r>
        <w:rPr>
          <w:rFonts w:ascii="Times New Roman" w:hAnsi="Times New Roman" w:hint="eastAsia"/>
          <w:sz w:val="24"/>
          <w:szCs w:val="24"/>
        </w:rPr>
        <w:t>日，在天津中汽中心召开第二次标准研讨会。参加本次会议的有包括主机厂、部件供应商、第三方机构等</w:t>
      </w:r>
      <w:r>
        <w:rPr>
          <w:rFonts w:ascii="Times New Roman" w:hAnsi="Times New Roman" w:hint="eastAsia"/>
          <w:sz w:val="24"/>
          <w:szCs w:val="24"/>
        </w:rPr>
        <w:t>10</w:t>
      </w:r>
      <w:r>
        <w:rPr>
          <w:rFonts w:ascii="Times New Roman" w:hAnsi="Times New Roman" w:hint="eastAsia"/>
          <w:sz w:val="24"/>
          <w:szCs w:val="24"/>
        </w:rPr>
        <w:t>余家单位参会。本次会议首先由标准牵头起草单位中国汽车技术研究中心有限公司向参会代表详细介绍了标准草案经过征询</w:t>
      </w:r>
      <w:r>
        <w:rPr>
          <w:rFonts w:ascii="Times New Roman" w:hAnsi="Times New Roman" w:hint="eastAsia"/>
          <w:sz w:val="24"/>
          <w:szCs w:val="24"/>
        </w:rPr>
        <w:t>10</w:t>
      </w:r>
      <w:r>
        <w:rPr>
          <w:rFonts w:ascii="Times New Roman" w:hAnsi="Times New Roman" w:hint="eastAsia"/>
          <w:sz w:val="24"/>
          <w:szCs w:val="24"/>
        </w:rPr>
        <w:t>多家单位专家意见后修订的主要内容、主要测试内容及要求，随后各参会代表就标准内容展开了充分的讨论并提出修改意见。在此基础上，牵头起草单位进一步对标准进行修改和完善，在第一次立项会议的基础上细化了试验方法，增加了术语和定义、测试条件和要求。</w:t>
      </w:r>
    </w:p>
    <w:p w14:paraId="54F06DCD" w14:textId="77777777" w:rsidR="001C646B" w:rsidRDefault="0093075E">
      <w:pPr>
        <w:spacing w:line="360" w:lineRule="auto"/>
        <w:ind w:firstLine="480"/>
        <w:rPr>
          <w:rFonts w:ascii="Times New Roman" w:hAnsi="Times New Roman"/>
          <w:sz w:val="24"/>
          <w:szCs w:val="24"/>
        </w:rPr>
      </w:pPr>
      <w:r>
        <w:rPr>
          <w:rFonts w:ascii="Times New Roman" w:hAnsi="Times New Roman" w:hint="eastAsia"/>
          <w:sz w:val="24"/>
          <w:szCs w:val="24"/>
        </w:rPr>
        <w:t>随后，分别</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25</w:t>
      </w:r>
      <w:r>
        <w:rPr>
          <w:rFonts w:ascii="Times New Roman" w:hAnsi="Times New Roman" w:hint="eastAsia"/>
          <w:sz w:val="24"/>
          <w:szCs w:val="24"/>
        </w:rPr>
        <w:t>日于威海、</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18</w:t>
      </w:r>
      <w:r>
        <w:rPr>
          <w:rFonts w:ascii="Times New Roman" w:hAnsi="Times New Roman" w:hint="eastAsia"/>
          <w:sz w:val="24"/>
          <w:szCs w:val="24"/>
        </w:rPr>
        <w:t>日至</w:t>
      </w:r>
      <w:r>
        <w:rPr>
          <w:rFonts w:ascii="Times New Roman" w:hAnsi="Times New Roman" w:hint="eastAsia"/>
          <w:sz w:val="24"/>
          <w:szCs w:val="24"/>
        </w:rPr>
        <w:t>19</w:t>
      </w:r>
      <w:r>
        <w:rPr>
          <w:rFonts w:ascii="Times New Roman" w:hAnsi="Times New Roman" w:hint="eastAsia"/>
          <w:sz w:val="24"/>
          <w:szCs w:val="24"/>
        </w:rPr>
        <w:t>日于上海、</w:t>
      </w:r>
      <w:r>
        <w:rPr>
          <w:rFonts w:ascii="Times New Roman" w:hAnsi="Times New Roman" w:hint="eastAsia"/>
          <w:sz w:val="24"/>
          <w:szCs w:val="24"/>
        </w:rPr>
        <w:t>201</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28</w:t>
      </w:r>
      <w:r>
        <w:rPr>
          <w:rFonts w:ascii="Times New Roman" w:hAnsi="Times New Roman" w:hint="eastAsia"/>
          <w:sz w:val="24"/>
          <w:szCs w:val="24"/>
        </w:rPr>
        <w:t>日至</w:t>
      </w:r>
      <w:r>
        <w:rPr>
          <w:rFonts w:ascii="Times New Roman" w:hAnsi="Times New Roman" w:hint="eastAsia"/>
          <w:sz w:val="24"/>
          <w:szCs w:val="24"/>
        </w:rPr>
        <w:t>29</w:t>
      </w:r>
      <w:r>
        <w:rPr>
          <w:rFonts w:ascii="Times New Roman" w:hAnsi="Times New Roman" w:hint="eastAsia"/>
          <w:sz w:val="24"/>
          <w:szCs w:val="24"/>
        </w:rPr>
        <w:t>日于北京共</w:t>
      </w:r>
      <w:r>
        <w:rPr>
          <w:rFonts w:ascii="Times New Roman" w:hAnsi="Times New Roman" w:hint="eastAsia"/>
          <w:sz w:val="24"/>
          <w:szCs w:val="24"/>
        </w:rPr>
        <w:t>3</w:t>
      </w:r>
      <w:r>
        <w:rPr>
          <w:rFonts w:ascii="Times New Roman" w:hAnsi="Times New Roman" w:hint="eastAsia"/>
          <w:sz w:val="24"/>
          <w:szCs w:val="24"/>
        </w:rPr>
        <w:t>次专题讨论会，就具体项目进行了详尽的讨论并完成终稿。</w:t>
      </w:r>
    </w:p>
    <w:p w14:paraId="26B135F4" w14:textId="77777777" w:rsidR="001C646B" w:rsidRDefault="0093075E">
      <w:pPr>
        <w:spacing w:line="360" w:lineRule="auto"/>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、主要起草单位及起草人所做的工作</w:t>
      </w:r>
    </w:p>
    <w:tbl>
      <w:tblPr>
        <w:tblStyle w:val="aff0"/>
        <w:tblW w:w="8758" w:type="dxa"/>
        <w:jc w:val="center"/>
        <w:tblLook w:val="04A0" w:firstRow="1" w:lastRow="0" w:firstColumn="1" w:lastColumn="0" w:noHBand="0" w:noVBand="1"/>
      </w:tblPr>
      <w:tblGrid>
        <w:gridCol w:w="2069"/>
        <w:gridCol w:w="2126"/>
        <w:gridCol w:w="4563"/>
      </w:tblGrid>
      <w:tr w:rsidR="001C646B" w14:paraId="3EA03147" w14:textId="77777777">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76F9B5E" w14:textId="77777777" w:rsidR="001C646B" w:rsidRDefault="0093075E">
            <w:pPr>
              <w:jc w:val="center"/>
              <w:rPr>
                <w:rFonts w:ascii="Times New Roman" w:hAnsi="Times New Roman"/>
                <w:sz w:val="24"/>
                <w:szCs w:val="24"/>
              </w:rPr>
            </w:pPr>
            <w:r>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A85B2A" w14:textId="77777777" w:rsidR="001C646B" w:rsidRDefault="0093075E">
            <w:pPr>
              <w:jc w:val="center"/>
              <w:rPr>
                <w:rFonts w:ascii="Times New Roman" w:hAnsi="Times New Roman"/>
                <w:sz w:val="24"/>
                <w:szCs w:val="24"/>
              </w:rPr>
            </w:pPr>
            <w:r>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48BE1108" w14:textId="77777777" w:rsidR="001C646B" w:rsidRDefault="0093075E">
            <w:pPr>
              <w:jc w:val="center"/>
              <w:rPr>
                <w:rFonts w:ascii="Times New Roman" w:hAnsi="Times New Roman"/>
                <w:sz w:val="24"/>
                <w:szCs w:val="24"/>
              </w:rPr>
            </w:pPr>
            <w:r>
              <w:rPr>
                <w:rFonts w:ascii="Times New Roman" w:hAnsi="Times New Roman"/>
                <w:sz w:val="24"/>
                <w:szCs w:val="24"/>
              </w:rPr>
              <w:t>主要工作</w:t>
            </w:r>
          </w:p>
        </w:tc>
      </w:tr>
      <w:tr w:rsidR="001C646B" w14:paraId="4AC03C02" w14:textId="77777777">
        <w:trPr>
          <w:jc w:val="center"/>
        </w:trPr>
        <w:tc>
          <w:tcPr>
            <w:tcW w:w="2069" w:type="dxa"/>
            <w:tcBorders>
              <w:top w:val="single" w:sz="4" w:space="0" w:color="auto"/>
            </w:tcBorders>
            <w:shd w:val="clear" w:color="auto" w:fill="auto"/>
            <w:vAlign w:val="center"/>
          </w:tcPr>
          <w:p w14:paraId="228F54AD" w14:textId="77777777" w:rsidR="001C646B" w:rsidRDefault="0093075E">
            <w:pPr>
              <w:rPr>
                <w:rFonts w:ascii="Times New Roman" w:hAnsi="Times New Roman"/>
                <w:sz w:val="24"/>
                <w:szCs w:val="24"/>
              </w:rPr>
            </w:pPr>
            <w:r>
              <w:rPr>
                <w:rFonts w:ascii="Times New Roman" w:hAnsi="Times New Roman" w:hint="eastAsia"/>
                <w:sz w:val="24"/>
                <w:szCs w:val="24"/>
              </w:rPr>
              <w:t>中国汽车技术研究中心有限公司</w:t>
            </w:r>
          </w:p>
        </w:tc>
        <w:tc>
          <w:tcPr>
            <w:tcW w:w="2126" w:type="dxa"/>
            <w:tcBorders>
              <w:top w:val="single" w:sz="4" w:space="0" w:color="auto"/>
            </w:tcBorders>
            <w:shd w:val="clear" w:color="auto" w:fill="auto"/>
            <w:vAlign w:val="center"/>
          </w:tcPr>
          <w:p w14:paraId="6FB02931" w14:textId="77777777" w:rsidR="001C646B" w:rsidRDefault="0093075E">
            <w:pPr>
              <w:rPr>
                <w:rFonts w:ascii="Times New Roman" w:hAnsi="Times New Roman"/>
                <w:sz w:val="24"/>
                <w:szCs w:val="24"/>
              </w:rPr>
            </w:pPr>
            <w:proofErr w:type="gramStart"/>
            <w:r>
              <w:rPr>
                <w:rFonts w:ascii="Times New Roman" w:hAnsi="Times New Roman" w:hint="eastAsia"/>
                <w:sz w:val="24"/>
                <w:szCs w:val="24"/>
              </w:rPr>
              <w:t>何鹏林</w:t>
            </w:r>
            <w:proofErr w:type="gramEnd"/>
            <w:r>
              <w:rPr>
                <w:rFonts w:ascii="Times New Roman" w:hAnsi="Times New Roman" w:hint="eastAsia"/>
                <w:sz w:val="24"/>
                <w:szCs w:val="24"/>
              </w:rPr>
              <w:t xml:space="preserve"> </w:t>
            </w:r>
            <w:r>
              <w:rPr>
                <w:rFonts w:ascii="Times New Roman" w:hAnsi="Times New Roman" w:hint="eastAsia"/>
                <w:sz w:val="24"/>
                <w:szCs w:val="24"/>
              </w:rPr>
              <w:t>孔治国</w:t>
            </w:r>
            <w:r>
              <w:rPr>
                <w:rFonts w:ascii="Times New Roman" w:hAnsi="Times New Roman" w:hint="eastAsia"/>
                <w:sz w:val="24"/>
                <w:szCs w:val="24"/>
              </w:rPr>
              <w:t xml:space="preserve"> </w:t>
            </w:r>
            <w:r>
              <w:rPr>
                <w:rFonts w:ascii="Times New Roman" w:hAnsi="Times New Roman" w:hint="eastAsia"/>
                <w:sz w:val="24"/>
                <w:szCs w:val="24"/>
              </w:rPr>
              <w:t>黄</w:t>
            </w:r>
            <w:proofErr w:type="gramStart"/>
            <w:r>
              <w:rPr>
                <w:rFonts w:ascii="Times New Roman" w:hAnsi="Times New Roman" w:hint="eastAsia"/>
                <w:sz w:val="24"/>
                <w:szCs w:val="24"/>
              </w:rPr>
              <w:t>炘</w:t>
            </w:r>
            <w:proofErr w:type="gramEnd"/>
            <w:r>
              <w:rPr>
                <w:rFonts w:ascii="Times New Roman" w:hAnsi="Times New Roman" w:hint="eastAsia"/>
                <w:sz w:val="24"/>
                <w:szCs w:val="24"/>
              </w:rPr>
              <w:t xml:space="preserve"> </w:t>
            </w:r>
            <w:proofErr w:type="gramStart"/>
            <w:r>
              <w:rPr>
                <w:rFonts w:ascii="Times New Roman" w:hAnsi="Times New Roman" w:hint="eastAsia"/>
                <w:sz w:val="24"/>
                <w:szCs w:val="24"/>
              </w:rPr>
              <w:t>李文帅</w:t>
            </w:r>
            <w:proofErr w:type="gramEnd"/>
            <w:r>
              <w:rPr>
                <w:rFonts w:ascii="Times New Roman" w:hAnsi="Times New Roman" w:hint="eastAsia"/>
                <w:sz w:val="24"/>
                <w:szCs w:val="24"/>
              </w:rPr>
              <w:t xml:space="preserve"> </w:t>
            </w:r>
          </w:p>
        </w:tc>
        <w:tc>
          <w:tcPr>
            <w:tcW w:w="4563" w:type="dxa"/>
            <w:tcBorders>
              <w:top w:val="single" w:sz="4" w:space="0" w:color="auto"/>
            </w:tcBorders>
            <w:shd w:val="clear" w:color="auto" w:fill="auto"/>
            <w:vAlign w:val="center"/>
          </w:tcPr>
          <w:p w14:paraId="54292D6B" w14:textId="77777777" w:rsidR="001C646B" w:rsidRDefault="0093075E">
            <w:pPr>
              <w:rPr>
                <w:rFonts w:ascii="Times New Roman" w:hAnsi="Times New Roman"/>
                <w:sz w:val="24"/>
                <w:szCs w:val="24"/>
              </w:rPr>
            </w:pPr>
            <w:r>
              <w:rPr>
                <w:rFonts w:ascii="Times New Roman" w:hAnsi="Times New Roman"/>
                <w:sz w:val="24"/>
                <w:szCs w:val="24"/>
              </w:rPr>
              <w:t>负责标准制定工作，资料查询、标准正文及编制说明草案起草、方法验证、组织协调等工作</w:t>
            </w:r>
          </w:p>
        </w:tc>
      </w:tr>
      <w:tr w:rsidR="001C646B" w14:paraId="7B8EA5C2" w14:textId="77777777">
        <w:trPr>
          <w:jc w:val="center"/>
        </w:trPr>
        <w:tc>
          <w:tcPr>
            <w:tcW w:w="2069" w:type="dxa"/>
            <w:tcBorders>
              <w:top w:val="single" w:sz="4" w:space="0" w:color="auto"/>
            </w:tcBorders>
            <w:shd w:val="clear" w:color="auto" w:fill="auto"/>
            <w:vAlign w:val="center"/>
          </w:tcPr>
          <w:p w14:paraId="4BCB0645" w14:textId="77777777" w:rsidR="001C646B" w:rsidRDefault="0093075E">
            <w:pPr>
              <w:rPr>
                <w:rFonts w:ascii="Times New Roman" w:hAnsi="Times New Roman"/>
                <w:sz w:val="24"/>
                <w:szCs w:val="24"/>
              </w:rPr>
            </w:pPr>
            <w:r>
              <w:rPr>
                <w:rFonts w:ascii="Times New Roman" w:hAnsi="Times New Roman" w:hint="eastAsia"/>
                <w:sz w:val="24"/>
                <w:szCs w:val="24"/>
              </w:rPr>
              <w:t>上海捷能汽车技术有限公司</w:t>
            </w:r>
          </w:p>
        </w:tc>
        <w:tc>
          <w:tcPr>
            <w:tcW w:w="2126" w:type="dxa"/>
            <w:tcBorders>
              <w:top w:val="single" w:sz="4" w:space="0" w:color="auto"/>
            </w:tcBorders>
            <w:shd w:val="clear" w:color="auto" w:fill="auto"/>
            <w:vAlign w:val="center"/>
          </w:tcPr>
          <w:p w14:paraId="46BC7456" w14:textId="77777777" w:rsidR="001C646B" w:rsidRDefault="0093075E">
            <w:pPr>
              <w:rPr>
                <w:rFonts w:ascii="Times New Roman" w:hAnsi="Times New Roman"/>
                <w:sz w:val="24"/>
                <w:szCs w:val="24"/>
              </w:rPr>
            </w:pPr>
            <w:r>
              <w:rPr>
                <w:rFonts w:ascii="Times New Roman" w:hAnsi="Times New Roman" w:hint="eastAsia"/>
                <w:sz w:val="24"/>
                <w:szCs w:val="24"/>
              </w:rPr>
              <w:t>陈</w:t>
            </w:r>
            <w:proofErr w:type="gramStart"/>
            <w:r>
              <w:rPr>
                <w:rFonts w:ascii="Times New Roman" w:hAnsi="Times New Roman" w:hint="eastAsia"/>
                <w:sz w:val="24"/>
                <w:szCs w:val="24"/>
              </w:rPr>
              <w:t>琳芝</w:t>
            </w:r>
            <w:r>
              <w:rPr>
                <w:rFonts w:ascii="Times New Roman" w:hAnsi="Times New Roman" w:hint="eastAsia"/>
                <w:sz w:val="24"/>
                <w:szCs w:val="24"/>
              </w:rPr>
              <w:t xml:space="preserve"> </w:t>
            </w:r>
            <w:r>
              <w:rPr>
                <w:rFonts w:ascii="Times New Roman" w:hAnsi="Times New Roman" w:hint="eastAsia"/>
                <w:sz w:val="24"/>
                <w:szCs w:val="24"/>
              </w:rPr>
              <w:t>符代竹</w:t>
            </w:r>
            <w:proofErr w:type="gramEnd"/>
          </w:p>
        </w:tc>
        <w:tc>
          <w:tcPr>
            <w:tcW w:w="4563" w:type="dxa"/>
            <w:tcBorders>
              <w:top w:val="single" w:sz="4" w:space="0" w:color="auto"/>
            </w:tcBorders>
            <w:shd w:val="clear" w:color="auto" w:fill="auto"/>
            <w:vAlign w:val="center"/>
          </w:tcPr>
          <w:p w14:paraId="46C7D6F7" w14:textId="77777777" w:rsidR="001C646B" w:rsidRDefault="0093075E">
            <w:pPr>
              <w:rPr>
                <w:rFonts w:ascii="Times New Roman" w:hAnsi="Times New Roman"/>
                <w:sz w:val="24"/>
                <w:szCs w:val="24"/>
              </w:rPr>
            </w:pPr>
            <w:r>
              <w:rPr>
                <w:rFonts w:ascii="Times New Roman" w:hAnsi="Times New Roman"/>
                <w:sz w:val="24"/>
                <w:szCs w:val="24"/>
              </w:rPr>
              <w:t>负责标准制定工作，资料查询、标准正文及编制说明草案起草、方法验证、组织协调等工作</w:t>
            </w:r>
          </w:p>
        </w:tc>
      </w:tr>
      <w:tr w:rsidR="001C646B" w14:paraId="2D984CDC" w14:textId="77777777">
        <w:trPr>
          <w:jc w:val="center"/>
        </w:trPr>
        <w:tc>
          <w:tcPr>
            <w:tcW w:w="2069" w:type="dxa"/>
            <w:tcBorders>
              <w:top w:val="single" w:sz="4" w:space="0" w:color="auto"/>
            </w:tcBorders>
            <w:shd w:val="clear" w:color="auto" w:fill="auto"/>
            <w:vAlign w:val="center"/>
          </w:tcPr>
          <w:p w14:paraId="2A79F020" w14:textId="77777777" w:rsidR="001C646B" w:rsidRDefault="0093075E">
            <w:pPr>
              <w:rPr>
                <w:rFonts w:ascii="Times New Roman" w:hAnsi="Times New Roman"/>
                <w:sz w:val="24"/>
                <w:szCs w:val="24"/>
              </w:rPr>
            </w:pPr>
            <w:r>
              <w:rPr>
                <w:rFonts w:ascii="Times New Roman" w:hAnsi="Times New Roman" w:hint="eastAsia"/>
                <w:sz w:val="24"/>
                <w:szCs w:val="24"/>
              </w:rPr>
              <w:t>北汽新能源汽车股份有限公司</w:t>
            </w:r>
          </w:p>
        </w:tc>
        <w:tc>
          <w:tcPr>
            <w:tcW w:w="2126" w:type="dxa"/>
            <w:tcBorders>
              <w:top w:val="single" w:sz="4" w:space="0" w:color="auto"/>
            </w:tcBorders>
            <w:shd w:val="clear" w:color="auto" w:fill="auto"/>
            <w:vAlign w:val="center"/>
          </w:tcPr>
          <w:p w14:paraId="22FDBDCA" w14:textId="77777777" w:rsidR="001C646B" w:rsidRDefault="0093075E">
            <w:pPr>
              <w:rPr>
                <w:rFonts w:ascii="Times New Roman" w:hAnsi="Times New Roman"/>
                <w:sz w:val="24"/>
                <w:szCs w:val="24"/>
              </w:rPr>
            </w:pPr>
            <w:r>
              <w:rPr>
                <w:rFonts w:ascii="Times New Roman" w:hAnsi="Times New Roman" w:hint="eastAsia"/>
                <w:sz w:val="24"/>
                <w:szCs w:val="24"/>
              </w:rPr>
              <w:t>崔江林</w:t>
            </w:r>
            <w:r>
              <w:rPr>
                <w:rFonts w:ascii="Times New Roman" w:hAnsi="Times New Roman" w:hint="eastAsia"/>
                <w:sz w:val="24"/>
                <w:szCs w:val="24"/>
              </w:rPr>
              <w:t xml:space="preserve"> </w:t>
            </w:r>
            <w:r>
              <w:rPr>
                <w:rFonts w:ascii="Times New Roman" w:hAnsi="Times New Roman" w:hint="eastAsia"/>
                <w:sz w:val="24"/>
                <w:szCs w:val="24"/>
              </w:rPr>
              <w:t>梁红强</w:t>
            </w:r>
          </w:p>
        </w:tc>
        <w:tc>
          <w:tcPr>
            <w:tcW w:w="4563" w:type="dxa"/>
            <w:tcBorders>
              <w:top w:val="single" w:sz="4" w:space="0" w:color="auto"/>
            </w:tcBorders>
            <w:shd w:val="clear" w:color="auto" w:fill="auto"/>
            <w:vAlign w:val="center"/>
          </w:tcPr>
          <w:p w14:paraId="7B66B0C4" w14:textId="77777777" w:rsidR="001C646B" w:rsidRDefault="0093075E">
            <w:pPr>
              <w:rPr>
                <w:rFonts w:ascii="Times New Roman" w:hAnsi="Times New Roman"/>
                <w:sz w:val="24"/>
                <w:szCs w:val="24"/>
              </w:rPr>
            </w:pPr>
            <w:r>
              <w:rPr>
                <w:rFonts w:ascii="Times New Roman" w:hAnsi="Times New Roman"/>
                <w:sz w:val="24"/>
                <w:szCs w:val="24"/>
              </w:rPr>
              <w:t>负责标准制定工作，资料查询、标准正文及编制说明草案起草、方法验证、组织协调等工作</w:t>
            </w:r>
          </w:p>
        </w:tc>
      </w:tr>
      <w:tr w:rsidR="001C646B" w14:paraId="248FB043" w14:textId="77777777">
        <w:trPr>
          <w:jc w:val="center"/>
        </w:trPr>
        <w:tc>
          <w:tcPr>
            <w:tcW w:w="2069" w:type="dxa"/>
            <w:tcBorders>
              <w:top w:val="single" w:sz="4" w:space="0" w:color="auto"/>
            </w:tcBorders>
            <w:shd w:val="clear" w:color="auto" w:fill="auto"/>
            <w:vAlign w:val="center"/>
          </w:tcPr>
          <w:p w14:paraId="46C95EED" w14:textId="77777777" w:rsidR="001C646B" w:rsidRDefault="0093075E">
            <w:pPr>
              <w:rPr>
                <w:rFonts w:ascii="Times New Roman" w:hAnsi="Times New Roman"/>
                <w:sz w:val="24"/>
                <w:szCs w:val="24"/>
              </w:rPr>
            </w:pPr>
            <w:r>
              <w:rPr>
                <w:rFonts w:ascii="Times New Roman" w:hAnsi="Times New Roman" w:hint="eastAsia"/>
                <w:sz w:val="24"/>
                <w:szCs w:val="24"/>
              </w:rPr>
              <w:t>国家新能源汽车技术创新中心</w:t>
            </w:r>
          </w:p>
        </w:tc>
        <w:tc>
          <w:tcPr>
            <w:tcW w:w="2126" w:type="dxa"/>
            <w:tcBorders>
              <w:top w:val="single" w:sz="4" w:space="0" w:color="auto"/>
            </w:tcBorders>
            <w:shd w:val="clear" w:color="auto" w:fill="auto"/>
            <w:vAlign w:val="center"/>
          </w:tcPr>
          <w:p w14:paraId="364B7D1E" w14:textId="77777777" w:rsidR="001C646B" w:rsidRDefault="0093075E">
            <w:pPr>
              <w:rPr>
                <w:rFonts w:ascii="Times New Roman" w:hAnsi="Times New Roman"/>
                <w:sz w:val="24"/>
                <w:szCs w:val="24"/>
              </w:rPr>
            </w:pPr>
            <w:r>
              <w:rPr>
                <w:rFonts w:ascii="Times New Roman" w:hAnsi="Times New Roman" w:hint="eastAsia"/>
                <w:sz w:val="24"/>
                <w:szCs w:val="24"/>
              </w:rPr>
              <w:t>王</w:t>
            </w:r>
            <w:proofErr w:type="gramStart"/>
            <w:r>
              <w:rPr>
                <w:rFonts w:ascii="Times New Roman" w:hAnsi="Times New Roman" w:hint="eastAsia"/>
                <w:sz w:val="24"/>
                <w:szCs w:val="24"/>
              </w:rPr>
              <w:t>泽兴</w:t>
            </w:r>
            <w:r>
              <w:rPr>
                <w:rFonts w:ascii="Times New Roman" w:hAnsi="Times New Roman" w:hint="eastAsia"/>
                <w:sz w:val="24"/>
                <w:szCs w:val="24"/>
              </w:rPr>
              <w:t xml:space="preserve"> </w:t>
            </w:r>
            <w:r>
              <w:rPr>
                <w:rFonts w:ascii="Times New Roman" w:hAnsi="Times New Roman" w:hint="eastAsia"/>
                <w:sz w:val="24"/>
                <w:szCs w:val="24"/>
              </w:rPr>
              <w:t>魏跃</w:t>
            </w:r>
            <w:proofErr w:type="gramEnd"/>
            <w:r>
              <w:rPr>
                <w:rFonts w:ascii="Times New Roman" w:hAnsi="Times New Roman" w:hint="eastAsia"/>
                <w:sz w:val="24"/>
                <w:szCs w:val="24"/>
              </w:rPr>
              <w:t>远</w:t>
            </w:r>
          </w:p>
        </w:tc>
        <w:tc>
          <w:tcPr>
            <w:tcW w:w="4563" w:type="dxa"/>
            <w:tcBorders>
              <w:top w:val="single" w:sz="4" w:space="0" w:color="auto"/>
            </w:tcBorders>
            <w:shd w:val="clear" w:color="auto" w:fill="auto"/>
            <w:vAlign w:val="center"/>
          </w:tcPr>
          <w:p w14:paraId="090BCBA2"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5FB59CB3" w14:textId="77777777">
        <w:trPr>
          <w:jc w:val="center"/>
        </w:trPr>
        <w:tc>
          <w:tcPr>
            <w:tcW w:w="2069" w:type="dxa"/>
            <w:tcBorders>
              <w:top w:val="single" w:sz="4" w:space="0" w:color="auto"/>
            </w:tcBorders>
            <w:shd w:val="clear" w:color="auto" w:fill="auto"/>
            <w:vAlign w:val="center"/>
          </w:tcPr>
          <w:p w14:paraId="3769CCD6" w14:textId="77777777" w:rsidR="001C646B" w:rsidRDefault="0093075E">
            <w:pPr>
              <w:rPr>
                <w:kern w:val="0"/>
              </w:rPr>
            </w:pPr>
            <w:r>
              <w:rPr>
                <w:rFonts w:hint="eastAsia"/>
                <w:kern w:val="0"/>
              </w:rPr>
              <w:t>上海蔚来汽车有限公司</w:t>
            </w:r>
          </w:p>
        </w:tc>
        <w:tc>
          <w:tcPr>
            <w:tcW w:w="2126" w:type="dxa"/>
            <w:tcBorders>
              <w:top w:val="single" w:sz="4" w:space="0" w:color="auto"/>
            </w:tcBorders>
            <w:shd w:val="clear" w:color="auto" w:fill="auto"/>
            <w:vAlign w:val="center"/>
          </w:tcPr>
          <w:p w14:paraId="70E4070E" w14:textId="77777777" w:rsidR="001C646B" w:rsidRDefault="0093075E">
            <w:pPr>
              <w:rPr>
                <w:rFonts w:ascii="Times New Roman" w:hAnsi="Times New Roman"/>
                <w:sz w:val="24"/>
                <w:szCs w:val="24"/>
              </w:rPr>
            </w:pPr>
            <w:r>
              <w:rPr>
                <w:rFonts w:ascii="Times New Roman" w:hAnsi="Times New Roman" w:hint="eastAsia"/>
                <w:sz w:val="24"/>
                <w:szCs w:val="24"/>
              </w:rPr>
              <w:t>刘佳琦</w:t>
            </w:r>
            <w:r>
              <w:rPr>
                <w:rFonts w:ascii="Times New Roman" w:hAnsi="Times New Roman" w:hint="eastAsia"/>
                <w:sz w:val="24"/>
                <w:szCs w:val="24"/>
              </w:rPr>
              <w:t xml:space="preserve"> </w:t>
            </w:r>
            <w:r>
              <w:rPr>
                <w:rFonts w:ascii="Times New Roman" w:hAnsi="Times New Roman" w:hint="eastAsia"/>
                <w:sz w:val="24"/>
                <w:szCs w:val="24"/>
              </w:rPr>
              <w:t>任安心</w:t>
            </w:r>
          </w:p>
        </w:tc>
        <w:tc>
          <w:tcPr>
            <w:tcW w:w="4563" w:type="dxa"/>
            <w:tcBorders>
              <w:top w:val="single" w:sz="4" w:space="0" w:color="auto"/>
            </w:tcBorders>
            <w:shd w:val="clear" w:color="auto" w:fill="auto"/>
            <w:vAlign w:val="center"/>
          </w:tcPr>
          <w:p w14:paraId="76EF91B4"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5105BC5C" w14:textId="77777777">
        <w:trPr>
          <w:jc w:val="center"/>
        </w:trPr>
        <w:tc>
          <w:tcPr>
            <w:tcW w:w="2069" w:type="dxa"/>
            <w:tcBorders>
              <w:top w:val="single" w:sz="4" w:space="0" w:color="auto"/>
            </w:tcBorders>
            <w:shd w:val="clear" w:color="auto" w:fill="auto"/>
            <w:vAlign w:val="center"/>
          </w:tcPr>
          <w:p w14:paraId="55497809" w14:textId="77777777" w:rsidR="001C646B" w:rsidRDefault="0093075E">
            <w:pPr>
              <w:rPr>
                <w:rFonts w:ascii="Times New Roman" w:hAnsi="Times New Roman"/>
                <w:sz w:val="24"/>
                <w:szCs w:val="24"/>
              </w:rPr>
            </w:pPr>
            <w:r>
              <w:rPr>
                <w:rFonts w:ascii="Times New Roman" w:hAnsi="Times New Roman" w:hint="eastAsia"/>
                <w:sz w:val="24"/>
                <w:szCs w:val="24"/>
              </w:rPr>
              <w:t>吉利汽车研究院</w:t>
            </w:r>
            <w:r>
              <w:rPr>
                <w:rFonts w:ascii="Times New Roman" w:hAnsi="Times New Roman" w:hint="eastAsia"/>
                <w:sz w:val="24"/>
                <w:szCs w:val="24"/>
              </w:rPr>
              <w:t>(</w:t>
            </w:r>
            <w:r>
              <w:rPr>
                <w:rFonts w:ascii="Times New Roman" w:hAnsi="Times New Roman" w:hint="eastAsia"/>
                <w:sz w:val="24"/>
                <w:szCs w:val="24"/>
              </w:rPr>
              <w:t>宁波</w:t>
            </w:r>
            <w:r>
              <w:rPr>
                <w:rFonts w:ascii="Times New Roman" w:hAnsi="Times New Roman" w:hint="eastAsia"/>
                <w:sz w:val="24"/>
                <w:szCs w:val="24"/>
              </w:rPr>
              <w:t>)</w:t>
            </w:r>
            <w:r>
              <w:rPr>
                <w:rFonts w:ascii="Times New Roman" w:hAnsi="Times New Roman" w:hint="eastAsia"/>
                <w:sz w:val="24"/>
                <w:szCs w:val="24"/>
              </w:rPr>
              <w:t>有限公司</w:t>
            </w:r>
          </w:p>
        </w:tc>
        <w:tc>
          <w:tcPr>
            <w:tcW w:w="2126" w:type="dxa"/>
            <w:tcBorders>
              <w:top w:val="single" w:sz="4" w:space="0" w:color="auto"/>
            </w:tcBorders>
            <w:shd w:val="clear" w:color="auto" w:fill="auto"/>
            <w:vAlign w:val="center"/>
          </w:tcPr>
          <w:p w14:paraId="7E8ED884" w14:textId="77777777" w:rsidR="001C646B" w:rsidRDefault="0093075E">
            <w:pPr>
              <w:rPr>
                <w:rFonts w:ascii="Times New Roman" w:hAnsi="Times New Roman"/>
                <w:sz w:val="24"/>
                <w:szCs w:val="24"/>
              </w:rPr>
            </w:pPr>
            <w:r>
              <w:rPr>
                <w:rFonts w:ascii="Times New Roman" w:hAnsi="Times New Roman" w:hint="eastAsia"/>
                <w:sz w:val="24"/>
                <w:szCs w:val="24"/>
              </w:rPr>
              <w:t>祝昆仑</w:t>
            </w:r>
            <w:r>
              <w:rPr>
                <w:rFonts w:ascii="Times New Roman" w:hAnsi="Times New Roman" w:hint="eastAsia"/>
                <w:sz w:val="24"/>
                <w:szCs w:val="24"/>
              </w:rPr>
              <w:t xml:space="preserve"> </w:t>
            </w:r>
            <w:r>
              <w:rPr>
                <w:rFonts w:ascii="Times New Roman" w:hAnsi="Times New Roman" w:hint="eastAsia"/>
                <w:sz w:val="24"/>
                <w:szCs w:val="24"/>
              </w:rPr>
              <w:t>毛宁</w:t>
            </w:r>
          </w:p>
        </w:tc>
        <w:tc>
          <w:tcPr>
            <w:tcW w:w="4563" w:type="dxa"/>
            <w:tcBorders>
              <w:top w:val="single" w:sz="4" w:space="0" w:color="auto"/>
            </w:tcBorders>
            <w:shd w:val="clear" w:color="auto" w:fill="auto"/>
            <w:vAlign w:val="center"/>
          </w:tcPr>
          <w:p w14:paraId="49154BB2" w14:textId="77777777" w:rsidR="001C646B" w:rsidRDefault="0093075E">
            <w:pPr>
              <w:rPr>
                <w:rFonts w:asciiTheme="minorEastAsia" w:eastAsiaTheme="minorEastAsia" w:hAnsiTheme="minorEastAsia"/>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787AD0FE" w14:textId="77777777">
        <w:trPr>
          <w:trHeight w:val="277"/>
          <w:jc w:val="center"/>
        </w:trPr>
        <w:tc>
          <w:tcPr>
            <w:tcW w:w="2069" w:type="dxa"/>
            <w:tcBorders>
              <w:top w:val="single" w:sz="4" w:space="0" w:color="auto"/>
            </w:tcBorders>
            <w:shd w:val="clear" w:color="auto" w:fill="auto"/>
            <w:vAlign w:val="center"/>
          </w:tcPr>
          <w:p w14:paraId="64180750" w14:textId="77777777" w:rsidR="001C646B" w:rsidRDefault="0093075E">
            <w:pPr>
              <w:rPr>
                <w:kern w:val="0"/>
              </w:rPr>
            </w:pPr>
            <w:r>
              <w:rPr>
                <w:rFonts w:hint="eastAsia"/>
                <w:kern w:val="0"/>
              </w:rPr>
              <w:t>比亚迪汽车工业有限公司</w:t>
            </w:r>
          </w:p>
        </w:tc>
        <w:tc>
          <w:tcPr>
            <w:tcW w:w="2126" w:type="dxa"/>
            <w:tcBorders>
              <w:top w:val="single" w:sz="4" w:space="0" w:color="auto"/>
            </w:tcBorders>
            <w:shd w:val="clear" w:color="auto" w:fill="auto"/>
            <w:vAlign w:val="center"/>
          </w:tcPr>
          <w:p w14:paraId="08DD6580" w14:textId="77777777" w:rsidR="001C646B" w:rsidRDefault="0093075E">
            <w:pPr>
              <w:rPr>
                <w:rFonts w:ascii="宋体" w:hAnsi="宋体"/>
                <w:sz w:val="24"/>
                <w:szCs w:val="24"/>
              </w:rPr>
            </w:pPr>
            <w:r>
              <w:rPr>
                <w:rFonts w:ascii="宋体" w:hAnsi="宋体" w:hint="eastAsia"/>
                <w:sz w:val="24"/>
                <w:szCs w:val="24"/>
              </w:rPr>
              <w:t>王江波</w:t>
            </w:r>
          </w:p>
        </w:tc>
        <w:tc>
          <w:tcPr>
            <w:tcW w:w="4563" w:type="dxa"/>
            <w:tcBorders>
              <w:top w:val="single" w:sz="4" w:space="0" w:color="auto"/>
            </w:tcBorders>
            <w:shd w:val="clear" w:color="auto" w:fill="auto"/>
            <w:vAlign w:val="center"/>
          </w:tcPr>
          <w:p w14:paraId="308BA662"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6DE44F37" w14:textId="77777777">
        <w:trPr>
          <w:trHeight w:val="277"/>
          <w:jc w:val="center"/>
        </w:trPr>
        <w:tc>
          <w:tcPr>
            <w:tcW w:w="2069" w:type="dxa"/>
            <w:tcBorders>
              <w:top w:val="single" w:sz="4" w:space="0" w:color="auto"/>
            </w:tcBorders>
            <w:shd w:val="clear" w:color="auto" w:fill="auto"/>
            <w:vAlign w:val="center"/>
          </w:tcPr>
          <w:p w14:paraId="1AB0A6D9" w14:textId="77777777" w:rsidR="001C646B" w:rsidRDefault="0093075E">
            <w:pPr>
              <w:rPr>
                <w:rFonts w:ascii="Times New Roman" w:hAnsi="Times New Roman"/>
                <w:sz w:val="24"/>
                <w:szCs w:val="24"/>
              </w:rPr>
            </w:pPr>
            <w:r>
              <w:rPr>
                <w:rFonts w:ascii="Times New Roman" w:hAnsi="Times New Roman" w:hint="eastAsia"/>
                <w:sz w:val="24"/>
                <w:szCs w:val="24"/>
              </w:rPr>
              <w:t>苏州汇川联合动力系统有限公司</w:t>
            </w:r>
          </w:p>
        </w:tc>
        <w:tc>
          <w:tcPr>
            <w:tcW w:w="2126" w:type="dxa"/>
            <w:tcBorders>
              <w:top w:val="single" w:sz="4" w:space="0" w:color="auto"/>
            </w:tcBorders>
            <w:shd w:val="clear" w:color="auto" w:fill="auto"/>
            <w:vAlign w:val="center"/>
          </w:tcPr>
          <w:p w14:paraId="05FD8F01" w14:textId="77777777" w:rsidR="001C646B" w:rsidRDefault="0093075E">
            <w:pPr>
              <w:rPr>
                <w:rFonts w:ascii="Times New Roman" w:hAnsi="Times New Roman"/>
                <w:sz w:val="24"/>
                <w:szCs w:val="24"/>
              </w:rPr>
            </w:pPr>
            <w:r>
              <w:rPr>
                <w:rFonts w:ascii="Times New Roman" w:hAnsi="Times New Roman" w:hint="eastAsia"/>
                <w:sz w:val="24"/>
                <w:szCs w:val="24"/>
              </w:rPr>
              <w:t>常诚</w:t>
            </w:r>
            <w:r>
              <w:rPr>
                <w:rFonts w:ascii="Times New Roman" w:hAnsi="Times New Roman" w:hint="eastAsia"/>
                <w:sz w:val="24"/>
                <w:szCs w:val="24"/>
              </w:rPr>
              <w:t xml:space="preserve"> </w:t>
            </w:r>
            <w:proofErr w:type="gramStart"/>
            <w:r>
              <w:rPr>
                <w:rFonts w:ascii="Times New Roman" w:hAnsi="Times New Roman" w:hint="eastAsia"/>
                <w:sz w:val="24"/>
                <w:szCs w:val="24"/>
              </w:rPr>
              <w:t>周楷涛</w:t>
            </w:r>
            <w:proofErr w:type="gramEnd"/>
          </w:p>
        </w:tc>
        <w:tc>
          <w:tcPr>
            <w:tcW w:w="4563" w:type="dxa"/>
            <w:tcBorders>
              <w:top w:val="single" w:sz="4" w:space="0" w:color="auto"/>
            </w:tcBorders>
            <w:shd w:val="clear" w:color="auto" w:fill="auto"/>
            <w:vAlign w:val="center"/>
          </w:tcPr>
          <w:p w14:paraId="6B63C75E"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30BA21F9" w14:textId="77777777">
        <w:trPr>
          <w:trHeight w:val="277"/>
          <w:jc w:val="center"/>
        </w:trPr>
        <w:tc>
          <w:tcPr>
            <w:tcW w:w="2069" w:type="dxa"/>
            <w:tcBorders>
              <w:top w:val="single" w:sz="4" w:space="0" w:color="auto"/>
            </w:tcBorders>
            <w:shd w:val="clear" w:color="auto" w:fill="auto"/>
            <w:vAlign w:val="center"/>
          </w:tcPr>
          <w:p w14:paraId="6ABFEABD" w14:textId="77777777" w:rsidR="001C646B" w:rsidRDefault="0093075E">
            <w:pPr>
              <w:rPr>
                <w:rFonts w:ascii="Times New Roman" w:hAnsi="Times New Roman"/>
                <w:sz w:val="24"/>
                <w:szCs w:val="24"/>
              </w:rPr>
            </w:pPr>
            <w:r>
              <w:rPr>
                <w:rFonts w:ascii="Times New Roman" w:hAnsi="Times New Roman" w:hint="eastAsia"/>
                <w:sz w:val="24"/>
                <w:szCs w:val="24"/>
              </w:rPr>
              <w:t>南京越博动力系统股份有限公司</w:t>
            </w:r>
          </w:p>
        </w:tc>
        <w:tc>
          <w:tcPr>
            <w:tcW w:w="2126" w:type="dxa"/>
            <w:tcBorders>
              <w:top w:val="single" w:sz="4" w:space="0" w:color="auto"/>
            </w:tcBorders>
            <w:shd w:val="clear" w:color="auto" w:fill="auto"/>
            <w:vAlign w:val="center"/>
          </w:tcPr>
          <w:p w14:paraId="5F9D34F1" w14:textId="77777777" w:rsidR="001C646B" w:rsidRDefault="0093075E">
            <w:pPr>
              <w:rPr>
                <w:rFonts w:ascii="Times New Roman" w:hAnsi="Times New Roman"/>
                <w:sz w:val="24"/>
                <w:szCs w:val="24"/>
              </w:rPr>
            </w:pPr>
            <w:proofErr w:type="gramStart"/>
            <w:r>
              <w:rPr>
                <w:rFonts w:ascii="Times New Roman" w:hAnsi="Times New Roman" w:hint="eastAsia"/>
                <w:sz w:val="24"/>
                <w:szCs w:val="24"/>
              </w:rPr>
              <w:t>刘滨</w:t>
            </w:r>
            <w:proofErr w:type="gramEnd"/>
          </w:p>
        </w:tc>
        <w:tc>
          <w:tcPr>
            <w:tcW w:w="4563" w:type="dxa"/>
            <w:tcBorders>
              <w:top w:val="single" w:sz="4" w:space="0" w:color="auto"/>
            </w:tcBorders>
            <w:shd w:val="clear" w:color="auto" w:fill="auto"/>
            <w:vAlign w:val="center"/>
          </w:tcPr>
          <w:p w14:paraId="2D04EB0D"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396FFFE6" w14:textId="77777777">
        <w:trPr>
          <w:jc w:val="center"/>
        </w:trPr>
        <w:tc>
          <w:tcPr>
            <w:tcW w:w="2069" w:type="dxa"/>
            <w:tcBorders>
              <w:top w:val="single" w:sz="4" w:space="0" w:color="auto"/>
            </w:tcBorders>
            <w:shd w:val="clear" w:color="auto" w:fill="auto"/>
            <w:vAlign w:val="center"/>
          </w:tcPr>
          <w:p w14:paraId="6FB61589" w14:textId="77777777" w:rsidR="001C646B" w:rsidRDefault="0093075E">
            <w:pPr>
              <w:rPr>
                <w:rFonts w:ascii="Times New Roman" w:hAnsi="Times New Roman"/>
                <w:sz w:val="24"/>
                <w:szCs w:val="24"/>
              </w:rPr>
            </w:pPr>
            <w:r>
              <w:rPr>
                <w:rFonts w:ascii="Times New Roman" w:hAnsi="Times New Roman" w:hint="eastAsia"/>
                <w:sz w:val="24"/>
                <w:szCs w:val="24"/>
              </w:rPr>
              <w:t>株洲中车时代电气股份有限公司</w:t>
            </w:r>
          </w:p>
        </w:tc>
        <w:tc>
          <w:tcPr>
            <w:tcW w:w="2126" w:type="dxa"/>
            <w:tcBorders>
              <w:top w:val="single" w:sz="4" w:space="0" w:color="auto"/>
            </w:tcBorders>
            <w:shd w:val="clear" w:color="auto" w:fill="auto"/>
            <w:vAlign w:val="center"/>
          </w:tcPr>
          <w:p w14:paraId="37651EEF" w14:textId="77777777" w:rsidR="001C646B" w:rsidRDefault="0093075E">
            <w:pPr>
              <w:rPr>
                <w:rFonts w:ascii="Times New Roman" w:hAnsi="Times New Roman"/>
                <w:sz w:val="24"/>
                <w:szCs w:val="24"/>
              </w:rPr>
            </w:pPr>
            <w:r>
              <w:rPr>
                <w:rFonts w:ascii="Times New Roman" w:hAnsi="Times New Roman" w:hint="eastAsia"/>
                <w:sz w:val="24"/>
                <w:szCs w:val="24"/>
              </w:rPr>
              <w:t>刘传德</w:t>
            </w:r>
            <w:r>
              <w:rPr>
                <w:rFonts w:ascii="Times New Roman" w:hAnsi="Times New Roman" w:hint="eastAsia"/>
                <w:sz w:val="24"/>
                <w:szCs w:val="24"/>
              </w:rPr>
              <w:t xml:space="preserve"> </w:t>
            </w:r>
            <w:r>
              <w:rPr>
                <w:rFonts w:ascii="Times New Roman" w:hAnsi="Times New Roman" w:hint="eastAsia"/>
                <w:sz w:val="24"/>
                <w:szCs w:val="24"/>
              </w:rPr>
              <w:t>刘鹏飞</w:t>
            </w:r>
          </w:p>
        </w:tc>
        <w:tc>
          <w:tcPr>
            <w:tcW w:w="4563" w:type="dxa"/>
            <w:tcBorders>
              <w:top w:val="single" w:sz="4" w:space="0" w:color="auto"/>
            </w:tcBorders>
            <w:shd w:val="clear" w:color="auto" w:fill="auto"/>
            <w:vAlign w:val="center"/>
          </w:tcPr>
          <w:p w14:paraId="3D607B89"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56E506C5" w14:textId="77777777">
        <w:trPr>
          <w:jc w:val="center"/>
        </w:trPr>
        <w:tc>
          <w:tcPr>
            <w:tcW w:w="2069" w:type="dxa"/>
            <w:tcBorders>
              <w:top w:val="single" w:sz="4" w:space="0" w:color="auto"/>
            </w:tcBorders>
            <w:shd w:val="clear" w:color="auto" w:fill="auto"/>
            <w:vAlign w:val="center"/>
          </w:tcPr>
          <w:p w14:paraId="18B8FF30" w14:textId="77777777" w:rsidR="001C646B" w:rsidRDefault="0093075E">
            <w:pPr>
              <w:rPr>
                <w:rFonts w:ascii="Times New Roman" w:hAnsi="Times New Roman"/>
                <w:sz w:val="24"/>
                <w:szCs w:val="24"/>
              </w:rPr>
            </w:pPr>
            <w:r>
              <w:rPr>
                <w:rFonts w:ascii="Times New Roman" w:hAnsi="Times New Roman" w:hint="eastAsia"/>
                <w:sz w:val="24"/>
                <w:szCs w:val="24"/>
              </w:rPr>
              <w:t>株洲齿轮有限责任公司</w:t>
            </w:r>
          </w:p>
        </w:tc>
        <w:tc>
          <w:tcPr>
            <w:tcW w:w="2126" w:type="dxa"/>
            <w:tcBorders>
              <w:top w:val="single" w:sz="4" w:space="0" w:color="auto"/>
            </w:tcBorders>
            <w:shd w:val="clear" w:color="auto" w:fill="auto"/>
            <w:vAlign w:val="center"/>
          </w:tcPr>
          <w:p w14:paraId="0C2285BE" w14:textId="77777777" w:rsidR="001C646B" w:rsidRDefault="0093075E">
            <w:pPr>
              <w:rPr>
                <w:rFonts w:ascii="Times New Roman" w:hAnsi="Times New Roman"/>
                <w:sz w:val="24"/>
                <w:szCs w:val="24"/>
              </w:rPr>
            </w:pPr>
            <w:r>
              <w:rPr>
                <w:rFonts w:ascii="Times New Roman" w:hAnsi="Times New Roman" w:hint="eastAsia"/>
                <w:sz w:val="24"/>
                <w:szCs w:val="24"/>
              </w:rPr>
              <w:t>潘晓东</w:t>
            </w:r>
            <w:r>
              <w:rPr>
                <w:rFonts w:ascii="Times New Roman" w:hAnsi="Times New Roman" w:hint="eastAsia"/>
                <w:sz w:val="24"/>
                <w:szCs w:val="24"/>
              </w:rPr>
              <w:t xml:space="preserve"> </w:t>
            </w:r>
            <w:r>
              <w:rPr>
                <w:rFonts w:ascii="Times New Roman" w:hAnsi="Times New Roman" w:hint="eastAsia"/>
                <w:sz w:val="24"/>
                <w:szCs w:val="24"/>
              </w:rPr>
              <w:t>刘祥环</w:t>
            </w:r>
          </w:p>
        </w:tc>
        <w:tc>
          <w:tcPr>
            <w:tcW w:w="4563" w:type="dxa"/>
            <w:tcBorders>
              <w:top w:val="single" w:sz="4" w:space="0" w:color="auto"/>
            </w:tcBorders>
            <w:shd w:val="clear" w:color="auto" w:fill="auto"/>
            <w:vAlign w:val="center"/>
          </w:tcPr>
          <w:p w14:paraId="2371916F"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r w:rsidR="001C646B" w14:paraId="0CD8A99F" w14:textId="77777777">
        <w:trPr>
          <w:trHeight w:val="748"/>
          <w:jc w:val="center"/>
        </w:trPr>
        <w:tc>
          <w:tcPr>
            <w:tcW w:w="2069" w:type="dxa"/>
            <w:tcBorders>
              <w:top w:val="single" w:sz="4" w:space="0" w:color="auto"/>
            </w:tcBorders>
            <w:shd w:val="clear" w:color="auto" w:fill="auto"/>
            <w:vAlign w:val="center"/>
          </w:tcPr>
          <w:p w14:paraId="2B419D4B" w14:textId="77777777" w:rsidR="001C646B" w:rsidRDefault="0093075E">
            <w:pPr>
              <w:rPr>
                <w:rFonts w:ascii="Times New Roman" w:hAnsi="Times New Roman"/>
                <w:sz w:val="24"/>
                <w:szCs w:val="24"/>
              </w:rPr>
            </w:pPr>
            <w:r>
              <w:rPr>
                <w:rFonts w:ascii="Times New Roman" w:hAnsi="Times New Roman" w:hint="eastAsia"/>
                <w:sz w:val="24"/>
                <w:szCs w:val="24"/>
              </w:rPr>
              <w:lastRenderedPageBreak/>
              <w:t>广州小鹏汽车科技有限公司</w:t>
            </w:r>
            <w:r>
              <w:rPr>
                <w:rFonts w:ascii="Times New Roman" w:hAnsi="Times New Roman" w:hint="eastAsia"/>
                <w:sz w:val="24"/>
                <w:szCs w:val="24"/>
              </w:rPr>
              <w:t xml:space="preserve"> </w:t>
            </w:r>
          </w:p>
        </w:tc>
        <w:tc>
          <w:tcPr>
            <w:tcW w:w="2126" w:type="dxa"/>
            <w:tcBorders>
              <w:top w:val="single" w:sz="4" w:space="0" w:color="auto"/>
            </w:tcBorders>
            <w:shd w:val="clear" w:color="auto" w:fill="auto"/>
            <w:vAlign w:val="center"/>
          </w:tcPr>
          <w:p w14:paraId="0F3C050A" w14:textId="77777777" w:rsidR="001C646B" w:rsidRDefault="0093075E">
            <w:pPr>
              <w:rPr>
                <w:rFonts w:ascii="Times New Roman" w:hAnsi="Times New Roman"/>
                <w:sz w:val="24"/>
                <w:szCs w:val="24"/>
              </w:rPr>
            </w:pPr>
            <w:r>
              <w:rPr>
                <w:rFonts w:ascii="Times New Roman" w:hAnsi="Times New Roman" w:hint="eastAsia"/>
                <w:sz w:val="24"/>
                <w:szCs w:val="24"/>
              </w:rPr>
              <w:t>邬红光</w:t>
            </w:r>
          </w:p>
        </w:tc>
        <w:tc>
          <w:tcPr>
            <w:tcW w:w="4563" w:type="dxa"/>
            <w:tcBorders>
              <w:top w:val="single" w:sz="4" w:space="0" w:color="auto"/>
            </w:tcBorders>
            <w:shd w:val="clear" w:color="auto" w:fill="auto"/>
            <w:vAlign w:val="center"/>
          </w:tcPr>
          <w:p w14:paraId="0C9A0C5B" w14:textId="77777777" w:rsidR="001C646B" w:rsidRDefault="0093075E">
            <w:pPr>
              <w:rPr>
                <w:rFonts w:ascii="Times New Roman" w:hAnsi="Times New Roman"/>
                <w:sz w:val="24"/>
                <w:szCs w:val="24"/>
              </w:rPr>
            </w:pPr>
            <w:r>
              <w:rPr>
                <w:rFonts w:asciiTheme="minorEastAsia" w:eastAsiaTheme="minorEastAsia" w:hAnsiTheme="minorEastAsia" w:hint="eastAsia"/>
                <w:sz w:val="24"/>
                <w:szCs w:val="24"/>
              </w:rPr>
              <w:t>标准</w:t>
            </w:r>
            <w:r>
              <w:rPr>
                <w:rFonts w:asciiTheme="minorEastAsia" w:eastAsiaTheme="minorEastAsia" w:hAnsiTheme="minorEastAsia"/>
                <w:sz w:val="24"/>
                <w:szCs w:val="24"/>
              </w:rPr>
              <w:t>起草、方法验证、标准讨论与完善</w:t>
            </w:r>
          </w:p>
        </w:tc>
      </w:tr>
    </w:tbl>
    <w:p w14:paraId="6EEFF2D4" w14:textId="77777777" w:rsidR="001C646B" w:rsidRDefault="001C646B">
      <w:pPr>
        <w:spacing w:line="360" w:lineRule="auto"/>
        <w:rPr>
          <w:rFonts w:ascii="Times New Roman" w:hAnsi="Times New Roman"/>
          <w:b/>
          <w:sz w:val="24"/>
          <w:szCs w:val="24"/>
        </w:rPr>
      </w:pPr>
    </w:p>
    <w:p w14:paraId="0643A675" w14:textId="77777777" w:rsidR="001C646B" w:rsidRDefault="0093075E">
      <w:pPr>
        <w:spacing w:line="360" w:lineRule="auto"/>
        <w:rPr>
          <w:rFonts w:ascii="Times New Roman" w:hAnsi="Times New Roman"/>
          <w:b/>
          <w:sz w:val="24"/>
          <w:szCs w:val="24"/>
        </w:rPr>
      </w:pPr>
      <w:r>
        <w:rPr>
          <w:rFonts w:ascii="Times New Roman" w:hAnsi="Times New Roman"/>
          <w:b/>
          <w:sz w:val="24"/>
          <w:szCs w:val="24"/>
        </w:rPr>
        <w:t>二、标准编制原则</w:t>
      </w:r>
      <w:r>
        <w:rPr>
          <w:rFonts w:ascii="Times New Roman" w:hAnsi="Times New Roman" w:hint="eastAsia"/>
          <w:b/>
          <w:sz w:val="24"/>
          <w:szCs w:val="24"/>
        </w:rPr>
        <w:t>和主要内容</w:t>
      </w:r>
    </w:p>
    <w:p w14:paraId="6C55784B"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1</w:t>
      </w:r>
      <w:r>
        <w:rPr>
          <w:rFonts w:ascii="Times New Roman" w:hAnsi="Times New Roman" w:hint="eastAsia"/>
          <w:b/>
          <w:sz w:val="24"/>
          <w:szCs w:val="24"/>
        </w:rPr>
        <w:t>、</w:t>
      </w:r>
      <w:r>
        <w:rPr>
          <w:rFonts w:ascii="Times New Roman" w:hAnsi="Times New Roman" w:hint="eastAsia"/>
          <w:b/>
          <w:sz w:val="24"/>
          <w:szCs w:val="24"/>
        </w:rPr>
        <w:t xml:space="preserve"> </w:t>
      </w:r>
      <w:r>
        <w:rPr>
          <w:rFonts w:ascii="Times New Roman" w:hAnsi="Times New Roman" w:hint="eastAsia"/>
          <w:b/>
          <w:sz w:val="24"/>
          <w:szCs w:val="24"/>
        </w:rPr>
        <w:t>标准制定原则</w:t>
      </w:r>
    </w:p>
    <w:p w14:paraId="25F4D261" w14:textId="77777777" w:rsidR="001C646B" w:rsidRDefault="0093075E">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）原则性：根据《中华人民共和国标准法》及其《实施细则》、《标准化工作导则第</w:t>
      </w:r>
      <w:r>
        <w:rPr>
          <w:rFonts w:ascii="Times New Roman" w:hAnsi="Times New Roman"/>
          <w:sz w:val="24"/>
          <w:szCs w:val="24"/>
        </w:rPr>
        <w:t>1</w:t>
      </w:r>
      <w:r>
        <w:rPr>
          <w:rFonts w:ascii="Times New Roman" w:hAnsi="Times New Roman"/>
          <w:sz w:val="24"/>
          <w:szCs w:val="24"/>
        </w:rPr>
        <w:t>部分：标准的结构和编写》</w:t>
      </w:r>
      <w:r>
        <w:rPr>
          <w:rFonts w:ascii="Times New Roman" w:hAnsi="Times New Roman"/>
          <w:sz w:val="24"/>
          <w:szCs w:val="24"/>
        </w:rPr>
        <w:t>GB/T 1.1</w:t>
      </w:r>
      <w:r>
        <w:rPr>
          <w:rFonts w:ascii="Times New Roman" w:hAnsi="Times New Roman"/>
          <w:sz w:val="24"/>
          <w:szCs w:val="24"/>
        </w:rPr>
        <w:t>－</w:t>
      </w:r>
      <w:r>
        <w:rPr>
          <w:rFonts w:ascii="Times New Roman" w:hAnsi="Times New Roman"/>
          <w:sz w:val="24"/>
          <w:szCs w:val="24"/>
        </w:rPr>
        <w:t>2009</w:t>
      </w:r>
      <w:r>
        <w:rPr>
          <w:rFonts w:ascii="Times New Roman" w:hAnsi="Times New Roman"/>
          <w:sz w:val="24"/>
          <w:szCs w:val="24"/>
        </w:rPr>
        <w:t>进行编制。</w:t>
      </w:r>
    </w:p>
    <w:p w14:paraId="3C3793E7"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）适应性：</w:t>
      </w:r>
      <w:r>
        <w:rPr>
          <w:rFonts w:ascii="Times New Roman" w:hAnsi="Times New Roman" w:hint="eastAsia"/>
          <w:sz w:val="24"/>
          <w:szCs w:val="24"/>
        </w:rPr>
        <w:t>本规范适用于电动汽车用驱动电机系统、以及包括电机、变速装置等多种形式在内的电驱动总成，对仅具有发电功能的车用电机及其控制器可以参照本规范执行。</w:t>
      </w:r>
    </w:p>
    <w:p w14:paraId="3B31D564" w14:textId="77777777" w:rsidR="001C646B" w:rsidRDefault="0093075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1D43A51"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2</w:t>
      </w:r>
      <w:r>
        <w:rPr>
          <w:rFonts w:ascii="Times New Roman" w:hAnsi="Times New Roman" w:hint="eastAsia"/>
          <w:b/>
          <w:sz w:val="24"/>
          <w:szCs w:val="24"/>
        </w:rPr>
        <w:t>、标准主要技术内容</w:t>
      </w:r>
    </w:p>
    <w:p w14:paraId="45CDF8DC"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本规范规定了电动汽车用驱动电机系统及电驱动总成能效等级划分方法、试验条件和试验方法。</w:t>
      </w:r>
    </w:p>
    <w:p w14:paraId="09D0FC0D" w14:textId="2B0558E1" w:rsidR="001C646B" w:rsidRDefault="0093075E" w:rsidP="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作为</w:t>
      </w:r>
      <w:r w:rsidRPr="0093075E">
        <w:rPr>
          <w:rFonts w:ascii="Times New Roman" w:hAnsi="Times New Roman" w:hint="eastAsia"/>
          <w:sz w:val="24"/>
          <w:szCs w:val="24"/>
        </w:rPr>
        <w:t>表示</w:t>
      </w:r>
      <w:r w:rsidRPr="0093075E">
        <w:rPr>
          <w:rFonts w:ascii="Times New Roman" w:hAnsi="Times New Roman"/>
          <w:sz w:val="24"/>
          <w:szCs w:val="24"/>
        </w:rPr>
        <w:t>驱动电机系统</w:t>
      </w:r>
      <w:r w:rsidRPr="0093075E">
        <w:rPr>
          <w:rFonts w:ascii="Times New Roman" w:hAnsi="Times New Roman" w:hint="eastAsia"/>
          <w:sz w:val="24"/>
          <w:szCs w:val="24"/>
        </w:rPr>
        <w:t>或电驱动总成能效高低的一种分级方法</w:t>
      </w:r>
      <w:r>
        <w:rPr>
          <w:rFonts w:ascii="Times New Roman" w:hAnsi="Times New Roman" w:hint="eastAsia"/>
          <w:sz w:val="24"/>
          <w:szCs w:val="24"/>
        </w:rPr>
        <w:t>，转矩和转速点选择很大程度上影响最终结果，因此标准结合实际测试经验提出了测试点选择方法；</w:t>
      </w:r>
    </w:p>
    <w:p w14:paraId="072F726E" w14:textId="221D971F" w:rsidR="0093075E" w:rsidRDefault="0093075E" w:rsidP="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能效等级划分依据来源于牵头单位多年来测试数据统计结果和各厂家产品自评结果，当前</w:t>
      </w: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w:t>
      </w:r>
      <w:r>
        <w:rPr>
          <w:rFonts w:ascii="Times New Roman" w:hAnsi="Times New Roman" w:hint="eastAsia"/>
          <w:sz w:val="24"/>
          <w:szCs w:val="24"/>
        </w:rPr>
        <w:t>左右产品可以达到一级，绝大多数产品处于二级和三级能效，代表了当</w:t>
      </w:r>
      <w:proofErr w:type="gramStart"/>
      <w:r>
        <w:rPr>
          <w:rFonts w:ascii="Times New Roman" w:hAnsi="Times New Roman" w:hint="eastAsia"/>
          <w:sz w:val="24"/>
          <w:szCs w:val="24"/>
        </w:rPr>
        <w:t>前行业</w:t>
      </w:r>
      <w:proofErr w:type="gramEnd"/>
      <w:r>
        <w:rPr>
          <w:rFonts w:ascii="Times New Roman" w:hAnsi="Times New Roman" w:hint="eastAsia"/>
          <w:sz w:val="24"/>
          <w:szCs w:val="24"/>
        </w:rPr>
        <w:t>发展水平，也具有一定的引导作用。</w:t>
      </w:r>
    </w:p>
    <w:p w14:paraId="643B44AB" w14:textId="64923FCD" w:rsidR="0093075E" w:rsidRDefault="0093075E" w:rsidP="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鉴于普遍采用的数点法计算高</w:t>
      </w:r>
      <w:proofErr w:type="gramStart"/>
      <w:r>
        <w:rPr>
          <w:rFonts w:ascii="Times New Roman" w:hAnsi="Times New Roman" w:hint="eastAsia"/>
          <w:sz w:val="24"/>
          <w:szCs w:val="24"/>
        </w:rPr>
        <w:t>效区</w:t>
      </w:r>
      <w:proofErr w:type="gramEnd"/>
      <w:r>
        <w:rPr>
          <w:rFonts w:ascii="Times New Roman" w:hAnsi="Times New Roman" w:hint="eastAsia"/>
          <w:sz w:val="24"/>
          <w:szCs w:val="24"/>
        </w:rPr>
        <w:t>结果偏差较大，本标准基于极限思想提出网格法以实现不规则等效率线包围的面积，该方法可操作性好，并可保证较高精度。</w:t>
      </w:r>
    </w:p>
    <w:p w14:paraId="316226F6"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三</w:t>
      </w:r>
      <w:r>
        <w:rPr>
          <w:rFonts w:ascii="Times New Roman" w:hAnsi="Times New Roman"/>
          <w:b/>
          <w:sz w:val="24"/>
          <w:szCs w:val="24"/>
        </w:rPr>
        <w:t>、</w:t>
      </w:r>
      <w:r>
        <w:rPr>
          <w:rFonts w:ascii="Times New Roman" w:hAnsi="Times New Roman" w:hint="eastAsia"/>
          <w:b/>
          <w:sz w:val="24"/>
          <w:szCs w:val="24"/>
        </w:rPr>
        <w:t>主要试验（或验证）情况分析</w:t>
      </w:r>
    </w:p>
    <w:p w14:paraId="1D7D739A"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试验验证是标准制定的重要环节，其试验验证数据将作为标准制定的重要参考，为保障标准内容及试验方法的合理性，编制单位高度重视产品的试验验证工作，调动并投入资源开展试验验证工作。</w:t>
      </w:r>
    </w:p>
    <w:p w14:paraId="70C89251" w14:textId="77777777" w:rsidR="001C646B" w:rsidRDefault="0093075E">
      <w:pPr>
        <w:spacing w:line="360" w:lineRule="auto"/>
        <w:ind w:firstLineChars="200" w:firstLine="480"/>
        <w:rPr>
          <w:lang w:val="en-GB"/>
        </w:rPr>
      </w:pPr>
      <w:r>
        <w:rPr>
          <w:rFonts w:ascii="Times New Roman" w:hAnsi="Times New Roman" w:hint="eastAsia"/>
          <w:sz w:val="24"/>
          <w:szCs w:val="24"/>
        </w:rPr>
        <w:t>本标准的测试要求及试验方法是基于</w:t>
      </w:r>
      <w:r>
        <w:rPr>
          <w:rFonts w:ascii="Times New Roman" w:hAnsi="Times New Roman" w:hint="eastAsia"/>
          <w:sz w:val="24"/>
          <w:szCs w:val="24"/>
        </w:rPr>
        <w:t>G</w:t>
      </w:r>
      <w:r>
        <w:rPr>
          <w:rFonts w:ascii="Times New Roman" w:hAnsi="Times New Roman"/>
          <w:sz w:val="24"/>
          <w:szCs w:val="24"/>
        </w:rPr>
        <w:t>B/T 1848</w:t>
      </w:r>
      <w:r>
        <w:rPr>
          <w:rFonts w:ascii="Times New Roman" w:hAnsi="Times New Roman" w:hint="eastAsia"/>
          <w:sz w:val="24"/>
          <w:szCs w:val="24"/>
        </w:rPr>
        <w:t>8.1-2015</w:t>
      </w:r>
      <w:r>
        <w:rPr>
          <w:rFonts w:ascii="Times New Roman" w:hAnsi="Times New Roman" w:hint="eastAsia"/>
          <w:sz w:val="24"/>
          <w:szCs w:val="24"/>
        </w:rPr>
        <w:t>、</w:t>
      </w:r>
      <w:r>
        <w:rPr>
          <w:rFonts w:ascii="Times New Roman" w:hAnsi="Times New Roman" w:hint="eastAsia"/>
          <w:sz w:val="24"/>
          <w:szCs w:val="24"/>
        </w:rPr>
        <w:t>G</w:t>
      </w:r>
      <w:r>
        <w:rPr>
          <w:rFonts w:ascii="Times New Roman" w:hAnsi="Times New Roman"/>
          <w:sz w:val="24"/>
          <w:szCs w:val="24"/>
        </w:rPr>
        <w:t>B/T 1848</w:t>
      </w:r>
      <w:r>
        <w:rPr>
          <w:rFonts w:ascii="Times New Roman" w:hAnsi="Times New Roman" w:hint="eastAsia"/>
          <w:sz w:val="24"/>
          <w:szCs w:val="24"/>
        </w:rPr>
        <w:t>8.2-2015</w:t>
      </w:r>
      <w:r>
        <w:rPr>
          <w:rFonts w:ascii="Times New Roman" w:hAnsi="Times New Roman" w:hint="eastAsia"/>
          <w:sz w:val="24"/>
          <w:szCs w:val="24"/>
        </w:rPr>
        <w:t>等国家相关标准及规程要求，主要涉及电动汽车用驱动电机系统及电驱动总成能效等级划分方法、试验条件和试验方法，其中，能效等级的划分方法定义</w:t>
      </w:r>
      <w:r>
        <w:rPr>
          <w:rFonts w:ascii="Times New Roman" w:hAnsi="Times New Roman" w:hint="eastAsia"/>
          <w:sz w:val="24"/>
          <w:szCs w:val="24"/>
        </w:rPr>
        <w:lastRenderedPageBreak/>
        <w:t>时，充分调研了各参与单位及相关产品的测试数据。当前，国内大部分产品处于</w:t>
      </w:r>
      <w:r>
        <w:rPr>
          <w:rFonts w:ascii="Times New Roman" w:hAnsi="Times New Roman" w:hint="eastAsia"/>
          <w:sz w:val="24"/>
          <w:szCs w:val="24"/>
        </w:rPr>
        <w:t>2</w:t>
      </w:r>
      <w:r>
        <w:rPr>
          <w:rFonts w:ascii="Times New Roman" w:hAnsi="Times New Roman" w:hint="eastAsia"/>
          <w:sz w:val="24"/>
          <w:szCs w:val="24"/>
        </w:rPr>
        <w:t>级、</w:t>
      </w:r>
      <w:r>
        <w:rPr>
          <w:rFonts w:ascii="Times New Roman" w:hAnsi="Times New Roman" w:hint="eastAsia"/>
          <w:sz w:val="24"/>
          <w:szCs w:val="24"/>
        </w:rPr>
        <w:t>3</w:t>
      </w:r>
      <w:r>
        <w:rPr>
          <w:rFonts w:ascii="Times New Roman" w:hAnsi="Times New Roman" w:hint="eastAsia"/>
          <w:sz w:val="24"/>
          <w:szCs w:val="24"/>
        </w:rPr>
        <w:t>级能效水平，比亚迪、北汽新能源、吉利等公司小部分领先的产品处于</w:t>
      </w:r>
      <w:r>
        <w:rPr>
          <w:rFonts w:ascii="Times New Roman" w:hAnsi="Times New Roman" w:hint="eastAsia"/>
          <w:sz w:val="24"/>
          <w:szCs w:val="24"/>
        </w:rPr>
        <w:t>1</w:t>
      </w:r>
      <w:r>
        <w:rPr>
          <w:rFonts w:ascii="Times New Roman" w:hAnsi="Times New Roman" w:hint="eastAsia"/>
          <w:sz w:val="24"/>
          <w:szCs w:val="24"/>
        </w:rPr>
        <w:t>级能效水平；国外特斯拉等部分先进产品已达到了</w:t>
      </w:r>
      <w:r>
        <w:rPr>
          <w:rFonts w:ascii="Times New Roman" w:hAnsi="Times New Roman" w:hint="eastAsia"/>
          <w:sz w:val="24"/>
          <w:szCs w:val="24"/>
        </w:rPr>
        <w:t>1</w:t>
      </w:r>
      <w:r>
        <w:rPr>
          <w:rFonts w:ascii="Times New Roman" w:hAnsi="Times New Roman" w:hint="eastAsia"/>
          <w:sz w:val="24"/>
          <w:szCs w:val="24"/>
        </w:rPr>
        <w:t>级能效水平，因此兼顾了产品的历史发展水平及未来发展趋势，现有相关产品性能及参数可以满足本标准规定，为标准审查验证提供方法和数据支撑。</w:t>
      </w:r>
    </w:p>
    <w:p w14:paraId="59A2102E"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四、标准中涉及专利的情况</w:t>
      </w:r>
    </w:p>
    <w:p w14:paraId="39539E23" w14:textId="77777777" w:rsidR="001C646B" w:rsidRDefault="0093075E">
      <w:pPr>
        <w:spacing w:line="360" w:lineRule="auto"/>
        <w:ind w:firstLine="465"/>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本标准中没有涉及专利的情况。</w:t>
      </w:r>
    </w:p>
    <w:p w14:paraId="57E66DFE" w14:textId="77777777" w:rsidR="001C646B" w:rsidRDefault="001C646B">
      <w:pPr>
        <w:spacing w:line="360" w:lineRule="auto"/>
        <w:ind w:firstLine="465"/>
        <w:rPr>
          <w:rFonts w:ascii="Times New Roman" w:hAnsi="Times New Roman"/>
          <w:sz w:val="24"/>
          <w:szCs w:val="24"/>
        </w:rPr>
      </w:pPr>
    </w:p>
    <w:p w14:paraId="3E169BD7"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五</w:t>
      </w:r>
      <w:r>
        <w:rPr>
          <w:rFonts w:ascii="Times New Roman" w:hAnsi="Times New Roman"/>
          <w:b/>
          <w:sz w:val="24"/>
          <w:szCs w:val="24"/>
        </w:rPr>
        <w:t>、预期达到的社会效益、对产业发展的作用的情况</w:t>
      </w:r>
    </w:p>
    <w:p w14:paraId="04655689"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sz w:val="24"/>
          <w:szCs w:val="24"/>
        </w:rPr>
        <w:t>通过宣贯、实施本</w:t>
      </w:r>
      <w:r>
        <w:rPr>
          <w:rFonts w:ascii="Times New Roman" w:hAnsi="Times New Roman" w:hint="eastAsia"/>
          <w:sz w:val="24"/>
          <w:szCs w:val="24"/>
        </w:rPr>
        <w:t>规范</w:t>
      </w:r>
      <w:r>
        <w:rPr>
          <w:rFonts w:ascii="Times New Roman" w:hAnsi="Times New Roman"/>
          <w:sz w:val="24"/>
          <w:szCs w:val="24"/>
        </w:rPr>
        <w:t>，</w:t>
      </w:r>
      <w:r>
        <w:rPr>
          <w:rFonts w:ascii="Times New Roman" w:hAnsi="Times New Roman" w:hint="eastAsia"/>
          <w:sz w:val="24"/>
          <w:szCs w:val="24"/>
        </w:rPr>
        <w:t>可以</w:t>
      </w:r>
      <w:r>
        <w:rPr>
          <w:rFonts w:ascii="Times New Roman" w:hAnsi="Times New Roman"/>
          <w:sz w:val="24"/>
          <w:szCs w:val="24"/>
        </w:rPr>
        <w:t>推动</w:t>
      </w:r>
      <w:r>
        <w:rPr>
          <w:rFonts w:ascii="Times New Roman" w:hAnsi="Times New Roman" w:hint="eastAsia"/>
          <w:sz w:val="24"/>
          <w:szCs w:val="24"/>
        </w:rPr>
        <w:t>《电动汽车用驱动电机系统及电驱动总成能效等级和试验方法》的标准化</w:t>
      </w:r>
      <w:r>
        <w:rPr>
          <w:rFonts w:ascii="Times New Roman" w:hAnsi="Times New Roman"/>
          <w:sz w:val="24"/>
          <w:szCs w:val="24"/>
        </w:rPr>
        <w:t>，</w:t>
      </w:r>
      <w:r>
        <w:rPr>
          <w:rFonts w:ascii="Times New Roman" w:hAnsi="Times New Roman" w:hint="eastAsia"/>
          <w:sz w:val="24"/>
          <w:szCs w:val="24"/>
        </w:rPr>
        <w:t>满足市场发展和厂家需求，推动行业顺利、健康发展：</w:t>
      </w:r>
      <w:r>
        <w:rPr>
          <w:rFonts w:ascii="Times New Roman" w:hAnsi="Times New Roman"/>
          <w:sz w:val="24"/>
          <w:szCs w:val="24"/>
        </w:rPr>
        <w:t xml:space="preserve"> </w:t>
      </w:r>
    </w:p>
    <w:p w14:paraId="3EB56790"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制定统一的能效等级及测试规范，为电驱动总成企业研发生产和整车企业匹配选型提供测试依据；</w:t>
      </w:r>
    </w:p>
    <w:p w14:paraId="5052D614"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引导企业及产品向高效、节能、高质量方向发展；</w:t>
      </w:r>
    </w:p>
    <w:p w14:paraId="14EBA425"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 xml:space="preserve"> </w:t>
      </w:r>
      <w:r>
        <w:rPr>
          <w:rFonts w:ascii="Times New Roman" w:hAnsi="Times New Roman" w:hint="eastAsia"/>
          <w:sz w:val="24"/>
          <w:szCs w:val="24"/>
        </w:rPr>
        <w:t>降低驱动电机系统及电驱动总成研发测试成本，推动电动汽车行业规范、健康发展。</w:t>
      </w:r>
    </w:p>
    <w:p w14:paraId="2F04E1FB"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六</w:t>
      </w:r>
      <w:r>
        <w:rPr>
          <w:rFonts w:ascii="Times New Roman" w:hAnsi="Times New Roman"/>
          <w:b/>
          <w:sz w:val="24"/>
          <w:szCs w:val="24"/>
        </w:rPr>
        <w:t>、</w:t>
      </w:r>
      <w:r>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14:paraId="695E190C"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针对电动汽车用驱动电机系统及电驱动总成产品，国内外尚无公开可参考的能效等级的定义、划分方法及详细的试验方法要求，当前此类产品虽整体朝着高效率方向发展，但仍然“良莠不齐”“五花八门”。</w:t>
      </w:r>
    </w:p>
    <w:p w14:paraId="59F3CA68" w14:textId="77777777" w:rsidR="001C646B" w:rsidRDefault="0093075E">
      <w:pPr>
        <w:spacing w:line="360" w:lineRule="auto"/>
        <w:ind w:firstLineChars="200" w:firstLine="480"/>
        <w:rPr>
          <w:rFonts w:ascii="Times New Roman" w:hAnsi="Times New Roman"/>
          <w:b/>
          <w:sz w:val="24"/>
          <w:szCs w:val="24"/>
        </w:rPr>
      </w:pPr>
      <w:r>
        <w:rPr>
          <w:rFonts w:ascii="Times New Roman" w:hAnsi="Times New Roman" w:hint="eastAsia"/>
          <w:sz w:val="24"/>
          <w:szCs w:val="24"/>
        </w:rPr>
        <w:t>目前已经开展测试包括汇川技术、特斯拉、戴姆勒、大陆汽车、日电产、吉利、比亚迪等数十款产品的摸底测试，验证了能效等级划分方法及试验方法的合理性。</w:t>
      </w:r>
    </w:p>
    <w:p w14:paraId="78A8EAF1" w14:textId="77777777" w:rsidR="001C646B" w:rsidRDefault="0093075E">
      <w:pPr>
        <w:spacing w:line="360" w:lineRule="auto"/>
        <w:rPr>
          <w:rFonts w:ascii="Times New Roman" w:hAnsi="Times New Roman"/>
          <w:sz w:val="24"/>
          <w:szCs w:val="24"/>
        </w:rPr>
      </w:pPr>
      <w:r>
        <w:rPr>
          <w:rFonts w:ascii="Times New Roman" w:hAnsi="Times New Roman" w:hint="eastAsia"/>
          <w:b/>
          <w:sz w:val="24"/>
          <w:szCs w:val="24"/>
        </w:rPr>
        <w:t>七</w:t>
      </w:r>
      <w:r>
        <w:rPr>
          <w:rFonts w:ascii="Times New Roman" w:hAnsi="Times New Roman"/>
          <w:b/>
          <w:sz w:val="24"/>
          <w:szCs w:val="24"/>
        </w:rPr>
        <w:t>、在标准体系中的位置，与现行相关法律、法规、规章及相关标准，特别是强制性标准的协调性</w:t>
      </w:r>
    </w:p>
    <w:p w14:paraId="034A26BA"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sz w:val="24"/>
          <w:szCs w:val="24"/>
        </w:rPr>
        <w:t>本标准属于团体标准，与现行法律、法规、规章和政策以及有关基础和相关标准不矛盾。</w:t>
      </w:r>
    </w:p>
    <w:p w14:paraId="4EBC54C2" w14:textId="77777777" w:rsidR="001C646B" w:rsidRDefault="001C646B">
      <w:pPr>
        <w:spacing w:line="360" w:lineRule="auto"/>
        <w:ind w:firstLineChars="200" w:firstLine="480"/>
        <w:rPr>
          <w:rFonts w:ascii="Times New Roman" w:hAnsi="Times New Roman"/>
          <w:sz w:val="24"/>
          <w:szCs w:val="24"/>
        </w:rPr>
      </w:pPr>
    </w:p>
    <w:p w14:paraId="2A0C703F"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lastRenderedPageBreak/>
        <w:t>八</w:t>
      </w:r>
      <w:r>
        <w:rPr>
          <w:rFonts w:ascii="Times New Roman" w:hAnsi="Times New Roman"/>
          <w:b/>
          <w:sz w:val="24"/>
          <w:szCs w:val="24"/>
        </w:rPr>
        <w:t>、重大分歧意见的处理经过和依据</w:t>
      </w:r>
    </w:p>
    <w:p w14:paraId="3A3ADC3B"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sz w:val="24"/>
          <w:szCs w:val="24"/>
        </w:rPr>
        <w:t>本标准未产生重大分歧意见</w:t>
      </w:r>
      <w:r>
        <w:rPr>
          <w:rFonts w:ascii="Times New Roman" w:hAnsi="Times New Roman" w:hint="eastAsia"/>
          <w:sz w:val="24"/>
          <w:szCs w:val="24"/>
        </w:rPr>
        <w:t>。</w:t>
      </w:r>
    </w:p>
    <w:p w14:paraId="7F1F97E0" w14:textId="77777777" w:rsidR="001C646B" w:rsidRDefault="001C646B">
      <w:pPr>
        <w:spacing w:line="360" w:lineRule="auto"/>
        <w:ind w:firstLineChars="200" w:firstLine="480"/>
        <w:rPr>
          <w:rFonts w:ascii="Times New Roman" w:hAnsi="Times New Roman"/>
          <w:sz w:val="24"/>
          <w:szCs w:val="24"/>
        </w:rPr>
      </w:pPr>
    </w:p>
    <w:p w14:paraId="7A126169"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九</w:t>
      </w:r>
      <w:r>
        <w:rPr>
          <w:rFonts w:ascii="Times New Roman" w:hAnsi="Times New Roman"/>
          <w:b/>
          <w:sz w:val="24"/>
          <w:szCs w:val="24"/>
        </w:rPr>
        <w:t>、标准性质的建议说明</w:t>
      </w:r>
    </w:p>
    <w:p w14:paraId="2E2FEEDC" w14:textId="77777777" w:rsidR="001C646B" w:rsidRDefault="0093075E">
      <w:pPr>
        <w:spacing w:line="360" w:lineRule="auto"/>
        <w:ind w:firstLine="435"/>
        <w:rPr>
          <w:rFonts w:ascii="Times New Roman" w:hAnsi="Times New Roman"/>
          <w:sz w:val="24"/>
          <w:szCs w:val="24"/>
        </w:rPr>
      </w:pPr>
      <w:r>
        <w:rPr>
          <w:rFonts w:ascii="Times New Roman" w:hAnsi="Times New Roman" w:hint="eastAsia"/>
          <w:sz w:val="24"/>
          <w:szCs w:val="24"/>
        </w:rPr>
        <w:t>本标准为中国汽车工程学会协会标准，属于团体标准，</w:t>
      </w:r>
      <w:proofErr w:type="gramStart"/>
      <w:r>
        <w:rPr>
          <w:rFonts w:ascii="Times New Roman" w:hAnsi="Times New Roman" w:hint="eastAsia"/>
          <w:sz w:val="24"/>
          <w:szCs w:val="24"/>
        </w:rPr>
        <w:t>供协会</w:t>
      </w:r>
      <w:proofErr w:type="gramEnd"/>
      <w:r>
        <w:rPr>
          <w:rFonts w:ascii="Times New Roman" w:hAnsi="Times New Roman" w:hint="eastAsia"/>
          <w:sz w:val="24"/>
          <w:szCs w:val="24"/>
        </w:rPr>
        <w:t>会员和和产业链关联企业及相关检验检测机构自愿使用。</w:t>
      </w:r>
    </w:p>
    <w:p w14:paraId="7FEB2F2E" w14:textId="77777777" w:rsidR="001C646B" w:rsidRDefault="001C646B">
      <w:pPr>
        <w:spacing w:line="360" w:lineRule="auto"/>
        <w:ind w:firstLine="435"/>
        <w:rPr>
          <w:rFonts w:ascii="Times New Roman" w:hAnsi="Times New Roman"/>
          <w:sz w:val="24"/>
          <w:szCs w:val="24"/>
        </w:rPr>
      </w:pPr>
    </w:p>
    <w:p w14:paraId="7C7DFFED" w14:textId="77777777" w:rsidR="001C646B" w:rsidRDefault="0093075E">
      <w:pPr>
        <w:spacing w:line="360" w:lineRule="auto"/>
        <w:rPr>
          <w:rFonts w:ascii="Times New Roman" w:hAnsi="Times New Roman"/>
          <w:b/>
          <w:sz w:val="24"/>
          <w:szCs w:val="24"/>
        </w:rPr>
      </w:pPr>
      <w:r>
        <w:rPr>
          <w:rFonts w:ascii="Times New Roman" w:hAnsi="Times New Roman" w:hint="eastAsia"/>
          <w:b/>
          <w:sz w:val="24"/>
          <w:szCs w:val="24"/>
        </w:rPr>
        <w:t>十、贯彻标准的要求和措施建议</w:t>
      </w:r>
    </w:p>
    <w:p w14:paraId="08D02FFF"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sz w:val="24"/>
          <w:szCs w:val="24"/>
        </w:rPr>
        <w:t>本标准为首次发布。</w:t>
      </w:r>
    </w:p>
    <w:p w14:paraId="35CDF7B8" w14:textId="77777777" w:rsidR="001C646B" w:rsidRDefault="001C646B">
      <w:pPr>
        <w:spacing w:line="360" w:lineRule="auto"/>
        <w:ind w:firstLineChars="200" w:firstLine="480"/>
        <w:rPr>
          <w:rFonts w:ascii="Times New Roman" w:hAnsi="Times New Roman"/>
          <w:sz w:val="24"/>
          <w:szCs w:val="24"/>
        </w:rPr>
      </w:pPr>
    </w:p>
    <w:p w14:paraId="39A51C85" w14:textId="77777777" w:rsidR="001C646B" w:rsidRDefault="0093075E">
      <w:pPr>
        <w:spacing w:line="360" w:lineRule="auto"/>
        <w:rPr>
          <w:rFonts w:ascii="Times New Roman" w:hAnsi="Times New Roman"/>
          <w:sz w:val="24"/>
          <w:szCs w:val="24"/>
        </w:rPr>
      </w:pPr>
      <w:r>
        <w:rPr>
          <w:rFonts w:ascii="Times New Roman" w:hAnsi="Times New Roman"/>
          <w:b/>
          <w:sz w:val="24"/>
          <w:szCs w:val="24"/>
        </w:rPr>
        <w:t>十</w:t>
      </w:r>
      <w:r>
        <w:rPr>
          <w:rFonts w:ascii="Times New Roman" w:hAnsi="Times New Roman" w:hint="eastAsia"/>
          <w:b/>
          <w:sz w:val="24"/>
          <w:szCs w:val="24"/>
        </w:rPr>
        <w:t>一</w:t>
      </w:r>
      <w:r>
        <w:rPr>
          <w:rFonts w:ascii="Times New Roman" w:hAnsi="Times New Roman"/>
          <w:b/>
          <w:sz w:val="24"/>
          <w:szCs w:val="24"/>
        </w:rPr>
        <w:t>、废止现行相关标准的建议</w:t>
      </w:r>
    </w:p>
    <w:p w14:paraId="0E43E985"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本标准为新起草的团体标准，无废止现行标准。</w:t>
      </w:r>
    </w:p>
    <w:p w14:paraId="5E624691" w14:textId="77777777" w:rsidR="001C646B" w:rsidRDefault="001C646B">
      <w:pPr>
        <w:spacing w:line="360" w:lineRule="auto"/>
        <w:ind w:firstLineChars="200" w:firstLine="480"/>
        <w:rPr>
          <w:rFonts w:ascii="Times New Roman" w:hAnsi="Times New Roman"/>
          <w:sz w:val="24"/>
          <w:szCs w:val="24"/>
        </w:rPr>
      </w:pPr>
    </w:p>
    <w:p w14:paraId="7B3A0BCD" w14:textId="77777777" w:rsidR="001C646B" w:rsidRDefault="0093075E">
      <w:pPr>
        <w:spacing w:line="360" w:lineRule="auto"/>
        <w:rPr>
          <w:rFonts w:ascii="Times New Roman" w:hAnsi="Times New Roman"/>
          <w:b/>
          <w:sz w:val="24"/>
          <w:szCs w:val="24"/>
        </w:rPr>
      </w:pPr>
      <w:r>
        <w:rPr>
          <w:rFonts w:ascii="Times New Roman" w:hAnsi="Times New Roman"/>
          <w:b/>
          <w:sz w:val="24"/>
          <w:szCs w:val="24"/>
        </w:rPr>
        <w:t>十</w:t>
      </w:r>
      <w:r>
        <w:rPr>
          <w:rFonts w:ascii="Times New Roman" w:hAnsi="Times New Roman" w:hint="eastAsia"/>
          <w:b/>
          <w:sz w:val="24"/>
          <w:szCs w:val="24"/>
        </w:rPr>
        <w:t>二</w:t>
      </w:r>
      <w:r>
        <w:rPr>
          <w:rFonts w:ascii="Times New Roman" w:hAnsi="Times New Roman"/>
          <w:b/>
          <w:sz w:val="24"/>
          <w:szCs w:val="24"/>
        </w:rPr>
        <w:t>、其他应予说明的事项</w:t>
      </w:r>
    </w:p>
    <w:p w14:paraId="7CE3C396" w14:textId="77777777" w:rsidR="001C646B" w:rsidRDefault="0093075E">
      <w:pPr>
        <w:spacing w:line="360" w:lineRule="auto"/>
        <w:ind w:firstLineChars="200" w:firstLine="480"/>
        <w:rPr>
          <w:rFonts w:ascii="Times New Roman" w:hAnsi="Times New Roman"/>
          <w:sz w:val="24"/>
          <w:szCs w:val="24"/>
        </w:rPr>
      </w:pPr>
      <w:r>
        <w:rPr>
          <w:rFonts w:ascii="Times New Roman" w:hAnsi="Times New Roman" w:hint="eastAsia"/>
          <w:sz w:val="24"/>
          <w:szCs w:val="24"/>
        </w:rPr>
        <w:t>无</w:t>
      </w:r>
    </w:p>
    <w:p w14:paraId="48D3451B" w14:textId="77777777" w:rsidR="001C646B" w:rsidRDefault="001C646B">
      <w:pPr>
        <w:rPr>
          <w:rFonts w:ascii="Times New Roman" w:hAnsi="Times New Roman"/>
          <w:b/>
          <w:sz w:val="24"/>
          <w:szCs w:val="24"/>
        </w:rPr>
      </w:pPr>
    </w:p>
    <w:p w14:paraId="6C0F0123" w14:textId="77777777" w:rsidR="001C646B" w:rsidRDefault="001C646B"/>
    <w:sectPr w:rsidR="001C64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64CC" w14:textId="77777777" w:rsidR="006F4FE8" w:rsidRDefault="006F4FE8" w:rsidP="00EF2C11">
      <w:r>
        <w:separator/>
      </w:r>
    </w:p>
  </w:endnote>
  <w:endnote w:type="continuationSeparator" w:id="0">
    <w:p w14:paraId="6C029B04" w14:textId="77777777" w:rsidR="006F4FE8" w:rsidRDefault="006F4FE8" w:rsidP="00EF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255E" w14:textId="77777777" w:rsidR="006F4FE8" w:rsidRDefault="006F4FE8" w:rsidP="00EF2C11">
      <w:r>
        <w:separator/>
      </w:r>
    </w:p>
  </w:footnote>
  <w:footnote w:type="continuationSeparator" w:id="0">
    <w:p w14:paraId="6B5970FE" w14:textId="77777777" w:rsidR="006F4FE8" w:rsidRDefault="006F4FE8" w:rsidP="00EF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AFF"/>
    <w:multiLevelType w:val="multilevel"/>
    <w:tmpl w:val="03226AFF"/>
    <w:lvl w:ilvl="0">
      <w:start w:val="1"/>
      <w:numFmt w:val="decimal"/>
      <w:pStyle w:val="a"/>
      <w:suff w:val="space"/>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E8"/>
    <w:rsid w:val="00002A8C"/>
    <w:rsid w:val="0001533F"/>
    <w:rsid w:val="000232C7"/>
    <w:rsid w:val="000234B8"/>
    <w:rsid w:val="000371AB"/>
    <w:rsid w:val="00040645"/>
    <w:rsid w:val="00045EB2"/>
    <w:rsid w:val="00047293"/>
    <w:rsid w:val="000474A7"/>
    <w:rsid w:val="00072C62"/>
    <w:rsid w:val="0007461A"/>
    <w:rsid w:val="000A5EB9"/>
    <w:rsid w:val="000B04E5"/>
    <w:rsid w:val="000C0E42"/>
    <w:rsid w:val="000C7A00"/>
    <w:rsid w:val="000D1774"/>
    <w:rsid w:val="000D277A"/>
    <w:rsid w:val="000F3471"/>
    <w:rsid w:val="000F448A"/>
    <w:rsid w:val="000F71CF"/>
    <w:rsid w:val="00101D6F"/>
    <w:rsid w:val="00106066"/>
    <w:rsid w:val="00112955"/>
    <w:rsid w:val="0011556E"/>
    <w:rsid w:val="00125C3F"/>
    <w:rsid w:val="00130C9A"/>
    <w:rsid w:val="0013381A"/>
    <w:rsid w:val="001360D5"/>
    <w:rsid w:val="00136E2C"/>
    <w:rsid w:val="0014011D"/>
    <w:rsid w:val="00154678"/>
    <w:rsid w:val="0016207D"/>
    <w:rsid w:val="00167F80"/>
    <w:rsid w:val="00182659"/>
    <w:rsid w:val="001979E3"/>
    <w:rsid w:val="001A2AC5"/>
    <w:rsid w:val="001A4B07"/>
    <w:rsid w:val="001B0724"/>
    <w:rsid w:val="001B1E3F"/>
    <w:rsid w:val="001C0854"/>
    <w:rsid w:val="001C646B"/>
    <w:rsid w:val="001C6E94"/>
    <w:rsid w:val="001C77A3"/>
    <w:rsid w:val="001E2458"/>
    <w:rsid w:val="001F7ADF"/>
    <w:rsid w:val="001F7FF4"/>
    <w:rsid w:val="00217B8A"/>
    <w:rsid w:val="00234CFE"/>
    <w:rsid w:val="00237387"/>
    <w:rsid w:val="002518CA"/>
    <w:rsid w:val="00280530"/>
    <w:rsid w:val="00282346"/>
    <w:rsid w:val="00282AF0"/>
    <w:rsid w:val="00282DAC"/>
    <w:rsid w:val="002937B7"/>
    <w:rsid w:val="002A1F79"/>
    <w:rsid w:val="002A6A08"/>
    <w:rsid w:val="002B09EB"/>
    <w:rsid w:val="002B22EC"/>
    <w:rsid w:val="002C514B"/>
    <w:rsid w:val="002E65DE"/>
    <w:rsid w:val="00304077"/>
    <w:rsid w:val="00305A6B"/>
    <w:rsid w:val="0031323C"/>
    <w:rsid w:val="00320BE4"/>
    <w:rsid w:val="00326596"/>
    <w:rsid w:val="00334D84"/>
    <w:rsid w:val="0036387C"/>
    <w:rsid w:val="00363E3C"/>
    <w:rsid w:val="003807C8"/>
    <w:rsid w:val="00382DD7"/>
    <w:rsid w:val="003A6502"/>
    <w:rsid w:val="003B673E"/>
    <w:rsid w:val="003C7102"/>
    <w:rsid w:val="003D4598"/>
    <w:rsid w:val="003F19FE"/>
    <w:rsid w:val="003F5E81"/>
    <w:rsid w:val="004054FE"/>
    <w:rsid w:val="00417A6D"/>
    <w:rsid w:val="004237C8"/>
    <w:rsid w:val="00423A87"/>
    <w:rsid w:val="00444B24"/>
    <w:rsid w:val="00446974"/>
    <w:rsid w:val="00447D4C"/>
    <w:rsid w:val="004526B4"/>
    <w:rsid w:val="00470222"/>
    <w:rsid w:val="004919B4"/>
    <w:rsid w:val="00497BC3"/>
    <w:rsid w:val="00497DDC"/>
    <w:rsid w:val="00497E96"/>
    <w:rsid w:val="004A4EED"/>
    <w:rsid w:val="004A6B1E"/>
    <w:rsid w:val="004B60C4"/>
    <w:rsid w:val="004B69D9"/>
    <w:rsid w:val="004C339F"/>
    <w:rsid w:val="004C3ADE"/>
    <w:rsid w:val="004D2F78"/>
    <w:rsid w:val="004E3619"/>
    <w:rsid w:val="004E480B"/>
    <w:rsid w:val="004F1277"/>
    <w:rsid w:val="005246FA"/>
    <w:rsid w:val="00525DE7"/>
    <w:rsid w:val="00532029"/>
    <w:rsid w:val="005349C8"/>
    <w:rsid w:val="00555CA5"/>
    <w:rsid w:val="005578A9"/>
    <w:rsid w:val="00567C6F"/>
    <w:rsid w:val="005711B6"/>
    <w:rsid w:val="00574B58"/>
    <w:rsid w:val="00582B73"/>
    <w:rsid w:val="005921AD"/>
    <w:rsid w:val="005B446F"/>
    <w:rsid w:val="005D39DB"/>
    <w:rsid w:val="005D54E2"/>
    <w:rsid w:val="005F4C95"/>
    <w:rsid w:val="005F4E5F"/>
    <w:rsid w:val="00606BC0"/>
    <w:rsid w:val="00614A5A"/>
    <w:rsid w:val="00624B33"/>
    <w:rsid w:val="006347CF"/>
    <w:rsid w:val="00654A51"/>
    <w:rsid w:val="00655DC9"/>
    <w:rsid w:val="00656311"/>
    <w:rsid w:val="006622DF"/>
    <w:rsid w:val="00664917"/>
    <w:rsid w:val="00685AA9"/>
    <w:rsid w:val="0068778D"/>
    <w:rsid w:val="006934D4"/>
    <w:rsid w:val="00694662"/>
    <w:rsid w:val="00694C70"/>
    <w:rsid w:val="00697002"/>
    <w:rsid w:val="006A5E3D"/>
    <w:rsid w:val="006C74D7"/>
    <w:rsid w:val="006D22A5"/>
    <w:rsid w:val="006E431E"/>
    <w:rsid w:val="006F2F68"/>
    <w:rsid w:val="006F4FE8"/>
    <w:rsid w:val="006F6C9D"/>
    <w:rsid w:val="0071049D"/>
    <w:rsid w:val="00710A60"/>
    <w:rsid w:val="00713699"/>
    <w:rsid w:val="00717CE5"/>
    <w:rsid w:val="00724639"/>
    <w:rsid w:val="00724FC6"/>
    <w:rsid w:val="00726DB1"/>
    <w:rsid w:val="00730266"/>
    <w:rsid w:val="00730E84"/>
    <w:rsid w:val="00741A72"/>
    <w:rsid w:val="007736FE"/>
    <w:rsid w:val="00776359"/>
    <w:rsid w:val="00782B77"/>
    <w:rsid w:val="007912D5"/>
    <w:rsid w:val="007A4E22"/>
    <w:rsid w:val="007B7EAD"/>
    <w:rsid w:val="007C010F"/>
    <w:rsid w:val="007C51DA"/>
    <w:rsid w:val="007D513F"/>
    <w:rsid w:val="007D5BE0"/>
    <w:rsid w:val="007E1CDC"/>
    <w:rsid w:val="007F07D8"/>
    <w:rsid w:val="007F39E2"/>
    <w:rsid w:val="008140C3"/>
    <w:rsid w:val="00820C5F"/>
    <w:rsid w:val="00824536"/>
    <w:rsid w:val="00827CDF"/>
    <w:rsid w:val="00835491"/>
    <w:rsid w:val="008453C3"/>
    <w:rsid w:val="00851FAE"/>
    <w:rsid w:val="008568E5"/>
    <w:rsid w:val="008654B3"/>
    <w:rsid w:val="008725C8"/>
    <w:rsid w:val="0089034E"/>
    <w:rsid w:val="008C5C3B"/>
    <w:rsid w:val="008D1A40"/>
    <w:rsid w:val="008D2F9D"/>
    <w:rsid w:val="008D4257"/>
    <w:rsid w:val="008D54AB"/>
    <w:rsid w:val="008E30AC"/>
    <w:rsid w:val="008E5F67"/>
    <w:rsid w:val="008F5F63"/>
    <w:rsid w:val="00905000"/>
    <w:rsid w:val="00905033"/>
    <w:rsid w:val="00907573"/>
    <w:rsid w:val="0093075E"/>
    <w:rsid w:val="00945991"/>
    <w:rsid w:val="00955B8A"/>
    <w:rsid w:val="009621F3"/>
    <w:rsid w:val="00966D95"/>
    <w:rsid w:val="00970C83"/>
    <w:rsid w:val="00974D1B"/>
    <w:rsid w:val="009772EA"/>
    <w:rsid w:val="00980DE8"/>
    <w:rsid w:val="009847B7"/>
    <w:rsid w:val="00984B67"/>
    <w:rsid w:val="00987C70"/>
    <w:rsid w:val="009A0A88"/>
    <w:rsid w:val="009C6B81"/>
    <w:rsid w:val="009D3804"/>
    <w:rsid w:val="009E30E9"/>
    <w:rsid w:val="009E491E"/>
    <w:rsid w:val="00A03774"/>
    <w:rsid w:val="00A05EB7"/>
    <w:rsid w:val="00A14A55"/>
    <w:rsid w:val="00A175D3"/>
    <w:rsid w:val="00A266B4"/>
    <w:rsid w:val="00A2774C"/>
    <w:rsid w:val="00A3713F"/>
    <w:rsid w:val="00A421DB"/>
    <w:rsid w:val="00A524CE"/>
    <w:rsid w:val="00A60EC5"/>
    <w:rsid w:val="00A803C1"/>
    <w:rsid w:val="00A903A2"/>
    <w:rsid w:val="00A97C1F"/>
    <w:rsid w:val="00AB7BC0"/>
    <w:rsid w:val="00AC6B6C"/>
    <w:rsid w:val="00AD08D5"/>
    <w:rsid w:val="00AE2098"/>
    <w:rsid w:val="00AE3CFA"/>
    <w:rsid w:val="00AF086F"/>
    <w:rsid w:val="00AF58A6"/>
    <w:rsid w:val="00AF724F"/>
    <w:rsid w:val="00B12AE3"/>
    <w:rsid w:val="00B12D67"/>
    <w:rsid w:val="00B61FEA"/>
    <w:rsid w:val="00B803C0"/>
    <w:rsid w:val="00B87005"/>
    <w:rsid w:val="00BB1D8F"/>
    <w:rsid w:val="00BB5D67"/>
    <w:rsid w:val="00BC0D67"/>
    <w:rsid w:val="00BC20BD"/>
    <w:rsid w:val="00BC6329"/>
    <w:rsid w:val="00BD5908"/>
    <w:rsid w:val="00BE3131"/>
    <w:rsid w:val="00BF143F"/>
    <w:rsid w:val="00BF4FE8"/>
    <w:rsid w:val="00C05B1A"/>
    <w:rsid w:val="00C15118"/>
    <w:rsid w:val="00C16CB8"/>
    <w:rsid w:val="00C17B26"/>
    <w:rsid w:val="00C22BD2"/>
    <w:rsid w:val="00C26EA8"/>
    <w:rsid w:val="00C46DB9"/>
    <w:rsid w:val="00C556F3"/>
    <w:rsid w:val="00C64300"/>
    <w:rsid w:val="00C80518"/>
    <w:rsid w:val="00C82ACD"/>
    <w:rsid w:val="00C90B0C"/>
    <w:rsid w:val="00CA48F6"/>
    <w:rsid w:val="00CC5414"/>
    <w:rsid w:val="00CF6365"/>
    <w:rsid w:val="00CF6C79"/>
    <w:rsid w:val="00D00456"/>
    <w:rsid w:val="00D10CBC"/>
    <w:rsid w:val="00D17FC5"/>
    <w:rsid w:val="00D51ABB"/>
    <w:rsid w:val="00D74325"/>
    <w:rsid w:val="00D75CEA"/>
    <w:rsid w:val="00D80A2E"/>
    <w:rsid w:val="00D81017"/>
    <w:rsid w:val="00D82497"/>
    <w:rsid w:val="00D93A2E"/>
    <w:rsid w:val="00DA6508"/>
    <w:rsid w:val="00DD4AC0"/>
    <w:rsid w:val="00DD5B55"/>
    <w:rsid w:val="00DE1227"/>
    <w:rsid w:val="00DF78F8"/>
    <w:rsid w:val="00E0224D"/>
    <w:rsid w:val="00E12CE5"/>
    <w:rsid w:val="00E1684B"/>
    <w:rsid w:val="00E16C8C"/>
    <w:rsid w:val="00E20B3B"/>
    <w:rsid w:val="00E26BA3"/>
    <w:rsid w:val="00E31CCB"/>
    <w:rsid w:val="00E374DE"/>
    <w:rsid w:val="00E500FD"/>
    <w:rsid w:val="00E50C7D"/>
    <w:rsid w:val="00E542F6"/>
    <w:rsid w:val="00E621C6"/>
    <w:rsid w:val="00E6569F"/>
    <w:rsid w:val="00E83CA7"/>
    <w:rsid w:val="00E879B7"/>
    <w:rsid w:val="00EA26DC"/>
    <w:rsid w:val="00EB4E14"/>
    <w:rsid w:val="00EC4001"/>
    <w:rsid w:val="00EE3EC2"/>
    <w:rsid w:val="00EF1E90"/>
    <w:rsid w:val="00EF2C11"/>
    <w:rsid w:val="00F12281"/>
    <w:rsid w:val="00F25600"/>
    <w:rsid w:val="00F25647"/>
    <w:rsid w:val="00F25A4F"/>
    <w:rsid w:val="00F31DD3"/>
    <w:rsid w:val="00F34531"/>
    <w:rsid w:val="00F431CB"/>
    <w:rsid w:val="00F500D2"/>
    <w:rsid w:val="00F53181"/>
    <w:rsid w:val="00F57D4D"/>
    <w:rsid w:val="00F74128"/>
    <w:rsid w:val="00F831EA"/>
    <w:rsid w:val="00F83CB5"/>
    <w:rsid w:val="00F9268C"/>
    <w:rsid w:val="00FB0C7A"/>
    <w:rsid w:val="00FB7B74"/>
    <w:rsid w:val="00FC1356"/>
    <w:rsid w:val="00FD0F03"/>
    <w:rsid w:val="00FD2C97"/>
    <w:rsid w:val="00FD4842"/>
    <w:rsid w:val="00FD76AC"/>
    <w:rsid w:val="00FF7FF9"/>
    <w:rsid w:val="1C9C4DDE"/>
    <w:rsid w:val="2B7D31FB"/>
    <w:rsid w:val="37693835"/>
    <w:rsid w:val="3F6B305A"/>
    <w:rsid w:val="495F4BF5"/>
    <w:rsid w:val="61377C43"/>
    <w:rsid w:val="61430F76"/>
    <w:rsid w:val="631460D8"/>
    <w:rsid w:val="63F814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8AC0D"/>
  <w15:docId w15:val="{DCA44AEB-8795-4C81-8824-90CF7BD1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pPr>
      <w:widowControl w:val="0"/>
      <w:jc w:val="both"/>
    </w:pPr>
    <w:rPr>
      <w:rFonts w:ascii="Calibri" w:eastAsia="宋体" w:hAnsi="Calibri" w:cs="Times New Roman"/>
      <w:kern w:val="2"/>
      <w:sz w:val="21"/>
      <w:szCs w:val="22"/>
    </w:rPr>
  </w:style>
  <w:style w:type="paragraph" w:styleId="10">
    <w:name w:val="heading 1"/>
    <w:basedOn w:val="a9"/>
    <w:next w:val="a9"/>
    <w:link w:val="11"/>
    <w:uiPriority w:val="9"/>
    <w:qFormat/>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1"/>
    <w:uiPriority w:val="9"/>
    <w:unhideWhenUsed/>
    <w:qFormat/>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1"/>
    <w:uiPriority w:val="9"/>
    <w:qFormat/>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ocument Map"/>
    <w:basedOn w:val="a9"/>
    <w:link w:val="ae"/>
    <w:semiHidden/>
    <w:qFormat/>
    <w:pPr>
      <w:shd w:val="clear" w:color="auto" w:fill="000080"/>
      <w:ind w:firstLineChars="200" w:firstLine="200"/>
    </w:pPr>
    <w:rPr>
      <w:rFonts w:ascii="Times New Roman" w:hAnsi="Times New Roman"/>
      <w:szCs w:val="24"/>
    </w:rPr>
  </w:style>
  <w:style w:type="paragraph" w:styleId="af">
    <w:name w:val="annotation text"/>
    <w:basedOn w:val="a9"/>
    <w:link w:val="af0"/>
    <w:uiPriority w:val="99"/>
    <w:unhideWhenUsed/>
    <w:qFormat/>
    <w:pPr>
      <w:snapToGrid w:val="0"/>
      <w:spacing w:line="360" w:lineRule="auto"/>
      <w:ind w:firstLineChars="200" w:firstLine="200"/>
      <w:jc w:val="left"/>
    </w:pPr>
    <w:rPr>
      <w:rFonts w:ascii="Times New Roman" w:hAnsi="Times New Roman"/>
    </w:rPr>
  </w:style>
  <w:style w:type="paragraph" w:styleId="af1">
    <w:name w:val="Date"/>
    <w:basedOn w:val="a9"/>
    <w:next w:val="a9"/>
    <w:link w:val="af2"/>
    <w:uiPriority w:val="99"/>
    <w:unhideWhenUsed/>
    <w:qFormat/>
    <w:pPr>
      <w:snapToGrid w:val="0"/>
      <w:spacing w:line="360" w:lineRule="auto"/>
      <w:ind w:leftChars="2500" w:left="100" w:firstLineChars="200" w:firstLine="200"/>
    </w:pPr>
    <w:rPr>
      <w:rFonts w:ascii="Times New Roman" w:hAnsi="Times New Roman"/>
    </w:rPr>
  </w:style>
  <w:style w:type="paragraph" w:styleId="af3">
    <w:name w:val="Balloon Text"/>
    <w:basedOn w:val="a9"/>
    <w:link w:val="af4"/>
    <w:uiPriority w:val="99"/>
    <w:semiHidden/>
    <w:qFormat/>
    <w:pPr>
      <w:ind w:firstLineChars="200" w:firstLine="200"/>
    </w:pPr>
    <w:rPr>
      <w:rFonts w:ascii="Times New Roman" w:hAnsi="Times New Roman"/>
      <w:sz w:val="18"/>
      <w:szCs w:val="18"/>
    </w:rPr>
  </w:style>
  <w:style w:type="paragraph" w:styleId="af5">
    <w:name w:val="footer"/>
    <w:basedOn w:val="a9"/>
    <w:link w:val="af6"/>
    <w:uiPriority w:val="99"/>
    <w:unhideWhenUsed/>
    <w:qFormat/>
    <w:pPr>
      <w:tabs>
        <w:tab w:val="center" w:pos="4153"/>
        <w:tab w:val="right" w:pos="8306"/>
      </w:tabs>
      <w:snapToGrid w:val="0"/>
      <w:jc w:val="left"/>
    </w:pPr>
    <w:rPr>
      <w:sz w:val="18"/>
      <w:szCs w:val="18"/>
    </w:rPr>
  </w:style>
  <w:style w:type="paragraph" w:styleId="af7">
    <w:name w:val="header"/>
    <w:basedOn w:val="a9"/>
    <w:link w:val="af8"/>
    <w:uiPriority w:val="99"/>
    <w:unhideWhenUsed/>
    <w:qFormat/>
    <w:pPr>
      <w:pBdr>
        <w:bottom w:val="single" w:sz="6" w:space="1" w:color="auto"/>
      </w:pBdr>
      <w:tabs>
        <w:tab w:val="center" w:pos="4153"/>
        <w:tab w:val="right" w:pos="8306"/>
      </w:tabs>
      <w:snapToGrid w:val="0"/>
      <w:jc w:val="center"/>
    </w:pPr>
    <w:rPr>
      <w:sz w:val="18"/>
      <w:szCs w:val="18"/>
    </w:rPr>
  </w:style>
  <w:style w:type="paragraph" w:styleId="af9">
    <w:name w:val="Subtitle"/>
    <w:basedOn w:val="a9"/>
    <w:next w:val="a9"/>
    <w:link w:val="afa"/>
    <w:uiPriority w:val="11"/>
    <w:qFormat/>
    <w:pPr>
      <w:snapToGrid w:val="0"/>
      <w:jc w:val="center"/>
      <w:outlineLvl w:val="1"/>
    </w:pPr>
    <w:rPr>
      <w:rFonts w:ascii="Times New Roman" w:hAnsi="Times New Roman"/>
      <w:b/>
      <w:bCs/>
      <w:kern w:val="28"/>
      <w:sz w:val="44"/>
      <w:szCs w:val="32"/>
    </w:rPr>
  </w:style>
  <w:style w:type="paragraph" w:styleId="afb">
    <w:name w:val="Normal (Web)"/>
    <w:basedOn w:val="a9"/>
    <w:uiPriority w:val="99"/>
    <w:unhideWhenUsed/>
    <w:qFormat/>
    <w:pPr>
      <w:widowControl/>
      <w:spacing w:before="100" w:beforeAutospacing="1" w:after="100" w:afterAutospacing="1"/>
      <w:ind w:firstLineChars="200" w:firstLine="200"/>
      <w:jc w:val="left"/>
    </w:pPr>
    <w:rPr>
      <w:rFonts w:ascii="宋体" w:hAnsi="宋体" w:cs="宋体"/>
      <w:kern w:val="0"/>
      <w:sz w:val="24"/>
      <w:szCs w:val="24"/>
    </w:rPr>
  </w:style>
  <w:style w:type="paragraph" w:styleId="afc">
    <w:name w:val="Title"/>
    <w:basedOn w:val="a9"/>
    <w:next w:val="a9"/>
    <w:link w:val="afd"/>
    <w:uiPriority w:val="10"/>
    <w:qFormat/>
    <w:pPr>
      <w:snapToGrid w:val="0"/>
      <w:spacing w:before="240" w:after="60" w:line="360" w:lineRule="auto"/>
      <w:jc w:val="left"/>
      <w:outlineLvl w:val="0"/>
    </w:pPr>
    <w:rPr>
      <w:rFonts w:ascii="Times New Roman" w:hAnsi="Times New Roman"/>
      <w:b/>
      <w:bCs/>
      <w:sz w:val="32"/>
      <w:szCs w:val="32"/>
    </w:rPr>
  </w:style>
  <w:style w:type="paragraph" w:styleId="afe">
    <w:name w:val="annotation subject"/>
    <w:basedOn w:val="af"/>
    <w:next w:val="af"/>
    <w:link w:val="aff"/>
    <w:uiPriority w:val="99"/>
    <w:unhideWhenUsed/>
    <w:qFormat/>
    <w:rPr>
      <w:b/>
      <w:bCs/>
    </w:rPr>
  </w:style>
  <w:style w:type="table" w:styleId="aff0">
    <w:name w:val="Table Grid"/>
    <w:basedOn w:val="ab"/>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a"/>
    <w:qFormat/>
  </w:style>
  <w:style w:type="character" w:styleId="aff2">
    <w:name w:val="Emphasis"/>
    <w:basedOn w:val="aa"/>
    <w:uiPriority w:val="20"/>
    <w:qFormat/>
    <w:rPr>
      <w:i/>
      <w:iCs/>
    </w:rPr>
  </w:style>
  <w:style w:type="character" w:styleId="aff3">
    <w:name w:val="Hyperlink"/>
    <w:basedOn w:val="aa"/>
    <w:uiPriority w:val="99"/>
    <w:semiHidden/>
    <w:unhideWhenUsed/>
    <w:qFormat/>
    <w:rPr>
      <w:color w:val="0000FF"/>
      <w:u w:val="single"/>
    </w:rPr>
  </w:style>
  <w:style w:type="character" w:styleId="aff4">
    <w:name w:val="annotation reference"/>
    <w:uiPriority w:val="99"/>
    <w:unhideWhenUsed/>
    <w:qFormat/>
    <w:rPr>
      <w:sz w:val="21"/>
      <w:szCs w:val="21"/>
    </w:rPr>
  </w:style>
  <w:style w:type="character" w:customStyle="1" w:styleId="31">
    <w:name w:val="标题 3 字符"/>
    <w:basedOn w:val="aa"/>
    <w:link w:val="30"/>
    <w:uiPriority w:val="9"/>
    <w:qFormat/>
    <w:rPr>
      <w:rFonts w:ascii="Calibri" w:eastAsia="宋体" w:hAnsi="Calibri" w:cs="Times New Roman"/>
      <w:b/>
      <w:bCs/>
      <w:sz w:val="32"/>
      <w:szCs w:val="32"/>
    </w:rPr>
  </w:style>
  <w:style w:type="character" w:customStyle="1" w:styleId="af8">
    <w:name w:val="页眉 字符"/>
    <w:basedOn w:val="aa"/>
    <w:link w:val="af7"/>
    <w:uiPriority w:val="99"/>
    <w:qFormat/>
    <w:rPr>
      <w:rFonts w:ascii="Calibri" w:eastAsia="宋体" w:hAnsi="Calibri" w:cs="Times New Roman"/>
      <w:sz w:val="18"/>
      <w:szCs w:val="18"/>
    </w:rPr>
  </w:style>
  <w:style w:type="character" w:customStyle="1" w:styleId="af6">
    <w:name w:val="页脚 字符"/>
    <w:basedOn w:val="aa"/>
    <w:link w:val="af5"/>
    <w:uiPriority w:val="99"/>
    <w:qFormat/>
    <w:rPr>
      <w:rFonts w:ascii="Calibri" w:eastAsia="宋体" w:hAnsi="Calibri" w:cs="Times New Roman"/>
      <w:sz w:val="18"/>
      <w:szCs w:val="18"/>
    </w:rPr>
  </w:style>
  <w:style w:type="character" w:customStyle="1" w:styleId="11">
    <w:name w:val="标题 1 字符"/>
    <w:basedOn w:val="aa"/>
    <w:link w:val="10"/>
    <w:uiPriority w:val="9"/>
    <w:qFormat/>
    <w:rPr>
      <w:rFonts w:ascii="Times New Roman" w:eastAsia="宋体" w:hAnsi="Times New Roman" w:cs="Times New Roman"/>
      <w:b/>
      <w:bCs/>
      <w:kern w:val="44"/>
      <w:sz w:val="44"/>
      <w:szCs w:val="44"/>
    </w:rPr>
  </w:style>
  <w:style w:type="character" w:customStyle="1" w:styleId="21">
    <w:name w:val="标题 2 字符"/>
    <w:basedOn w:val="aa"/>
    <w:link w:val="20"/>
    <w:uiPriority w:val="9"/>
    <w:qFormat/>
    <w:rPr>
      <w:rFonts w:ascii="Calibri Light" w:eastAsia="宋体" w:hAnsi="Calibri Light" w:cs="Times New Roman"/>
      <w:b/>
      <w:bCs/>
      <w:sz w:val="32"/>
      <w:szCs w:val="32"/>
    </w:rPr>
  </w:style>
  <w:style w:type="paragraph" w:customStyle="1" w:styleId="aff5">
    <w:name w:val="段"/>
    <w:link w:val="Char"/>
    <w:qFormat/>
    <w:pPr>
      <w:autoSpaceDE w:val="0"/>
      <w:autoSpaceDN w:val="0"/>
      <w:ind w:firstLineChars="200" w:firstLine="200"/>
      <w:jc w:val="both"/>
    </w:pPr>
    <w:rPr>
      <w:rFonts w:ascii="宋体" w:eastAsia="宋体" w:hAnsi="Times New Roman" w:cs="Times New Roman"/>
      <w:sz w:val="21"/>
    </w:rPr>
  </w:style>
  <w:style w:type="paragraph" w:customStyle="1" w:styleId="a2">
    <w:name w:val="前言、引言标题"/>
    <w:next w:val="a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3">
    <w:name w:val="章标题"/>
    <w:next w:val="aff5"/>
    <w:qFormat/>
    <w:pPr>
      <w:numPr>
        <w:ilvl w:val="1"/>
        <w:numId w:val="1"/>
      </w:numPr>
      <w:spacing w:beforeLines="50" w:afterLines="50"/>
      <w:jc w:val="both"/>
      <w:outlineLvl w:val="1"/>
    </w:pPr>
    <w:rPr>
      <w:rFonts w:ascii="黑体" w:eastAsia="黑体" w:hAnsi="Times New Roman" w:cs="Times New Roman"/>
      <w:sz w:val="21"/>
    </w:rPr>
  </w:style>
  <w:style w:type="paragraph" w:customStyle="1" w:styleId="a4">
    <w:name w:val="一级条标题"/>
    <w:basedOn w:val="a3"/>
    <w:next w:val="aff5"/>
    <w:qFormat/>
    <w:pPr>
      <w:numPr>
        <w:ilvl w:val="2"/>
      </w:numPr>
      <w:spacing w:beforeLines="0" w:afterLines="0"/>
      <w:outlineLvl w:val="2"/>
    </w:pPr>
  </w:style>
  <w:style w:type="paragraph" w:customStyle="1" w:styleId="a5">
    <w:name w:val="二级条标题"/>
    <w:basedOn w:val="a4"/>
    <w:next w:val="aff5"/>
    <w:qFormat/>
    <w:pPr>
      <w:numPr>
        <w:ilvl w:val="3"/>
      </w:numPr>
      <w:outlineLvl w:val="3"/>
    </w:pPr>
  </w:style>
  <w:style w:type="paragraph" w:customStyle="1" w:styleId="a6">
    <w:name w:val="三级条标题"/>
    <w:basedOn w:val="a5"/>
    <w:next w:val="aff5"/>
    <w:qFormat/>
    <w:pPr>
      <w:numPr>
        <w:ilvl w:val="4"/>
      </w:numPr>
      <w:outlineLvl w:val="4"/>
    </w:pPr>
  </w:style>
  <w:style w:type="paragraph" w:customStyle="1" w:styleId="a7">
    <w:name w:val="四级条标题"/>
    <w:basedOn w:val="a6"/>
    <w:next w:val="aff5"/>
    <w:qFormat/>
    <w:pPr>
      <w:numPr>
        <w:ilvl w:val="5"/>
      </w:numPr>
      <w:outlineLvl w:val="5"/>
    </w:pPr>
  </w:style>
  <w:style w:type="paragraph" w:customStyle="1" w:styleId="a8">
    <w:name w:val="五级条标题"/>
    <w:basedOn w:val="a7"/>
    <w:next w:val="aff5"/>
    <w:qFormat/>
    <w:pPr>
      <w:numPr>
        <w:ilvl w:val="6"/>
      </w:numPr>
      <w:outlineLvl w:val="6"/>
    </w:pPr>
  </w:style>
  <w:style w:type="paragraph" w:customStyle="1" w:styleId="CharCharCharCharCharCharCharCharChar">
    <w:name w:val="Char Char Char Char Char Char Char Char Char"/>
    <w:basedOn w:val="ad"/>
    <w:qFormat/>
    <w:pPr>
      <w:adjustRightInd w:val="0"/>
      <w:spacing w:line="436" w:lineRule="exact"/>
      <w:ind w:left="357"/>
      <w:jc w:val="left"/>
      <w:outlineLvl w:val="3"/>
    </w:pPr>
    <w:rPr>
      <w:rFonts w:ascii="Tahoma" w:hAnsi="Tahoma"/>
      <w:b/>
      <w:sz w:val="24"/>
    </w:rPr>
  </w:style>
  <w:style w:type="character" w:customStyle="1" w:styleId="ae">
    <w:name w:val="文档结构图 字符"/>
    <w:basedOn w:val="aa"/>
    <w:link w:val="ad"/>
    <w:semiHidden/>
    <w:qFormat/>
    <w:rPr>
      <w:rFonts w:ascii="Times New Roman" w:eastAsia="宋体" w:hAnsi="Times New Roman" w:cs="Times New Roman"/>
      <w:szCs w:val="24"/>
      <w:shd w:val="clear" w:color="auto" w:fill="000080"/>
    </w:rPr>
  </w:style>
  <w:style w:type="paragraph" w:customStyle="1" w:styleId="aff6">
    <w:name w:val="封面标准文稿编辑信息"/>
    <w:qFormat/>
    <w:pPr>
      <w:spacing w:before="180" w:line="180" w:lineRule="exact"/>
      <w:jc w:val="center"/>
    </w:pPr>
    <w:rPr>
      <w:rFonts w:ascii="宋体" w:eastAsia="宋体" w:hAnsi="Times New Roman" w:cs="Times New Roman"/>
      <w:sz w:val="21"/>
    </w:rPr>
  </w:style>
  <w:style w:type="paragraph" w:customStyle="1" w:styleId="CharCharCharChar">
    <w:name w:val="Char Char Char Char"/>
    <w:basedOn w:val="a9"/>
    <w:qFormat/>
    <w:pPr>
      <w:widowControl/>
      <w:spacing w:after="160" w:line="240" w:lineRule="exact"/>
      <w:ind w:firstLineChars="200" w:firstLine="200"/>
      <w:jc w:val="left"/>
    </w:pPr>
    <w:rPr>
      <w:rFonts w:ascii="Times New Roman" w:hAnsi="Times New Roman"/>
      <w:szCs w:val="20"/>
    </w:rPr>
  </w:style>
  <w:style w:type="paragraph" w:customStyle="1" w:styleId="Char0">
    <w:name w:val="Char"/>
    <w:basedOn w:val="a9"/>
    <w:qFormat/>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qFormat/>
    <w:pPr>
      <w:widowControl/>
      <w:spacing w:after="160" w:line="240" w:lineRule="exact"/>
      <w:ind w:firstLineChars="200" w:firstLine="200"/>
      <w:jc w:val="left"/>
    </w:pPr>
    <w:rPr>
      <w:rFonts w:ascii="Arial" w:eastAsia="Times New Roman" w:hAnsi="Arial" w:cs="Verdana"/>
      <w:b/>
      <w:kern w:val="0"/>
      <w:sz w:val="24"/>
      <w:szCs w:val="24"/>
      <w:lang w:eastAsia="en-US"/>
    </w:rPr>
  </w:style>
  <w:style w:type="character" w:customStyle="1" w:styleId="af4">
    <w:name w:val="批注框文本 字符"/>
    <w:basedOn w:val="aa"/>
    <w:link w:val="af3"/>
    <w:uiPriority w:val="99"/>
    <w:semiHidden/>
    <w:qFormat/>
    <w:rPr>
      <w:rFonts w:ascii="Times New Roman" w:eastAsia="宋体" w:hAnsi="Times New Roman" w:cs="Times New Roman"/>
      <w:sz w:val="18"/>
      <w:szCs w:val="18"/>
    </w:rPr>
  </w:style>
  <w:style w:type="character" w:customStyle="1" w:styleId="afd">
    <w:name w:val="标题 字符"/>
    <w:basedOn w:val="aa"/>
    <w:link w:val="afc"/>
    <w:uiPriority w:val="10"/>
    <w:qFormat/>
    <w:rPr>
      <w:rFonts w:ascii="Times New Roman" w:eastAsia="宋体" w:hAnsi="Times New Roman" w:cs="Times New Roman"/>
      <w:b/>
      <w:bCs/>
      <w:sz w:val="32"/>
      <w:szCs w:val="32"/>
    </w:rPr>
  </w:style>
  <w:style w:type="character" w:customStyle="1" w:styleId="af0">
    <w:name w:val="批注文字 字符"/>
    <w:basedOn w:val="aa"/>
    <w:link w:val="af"/>
    <w:uiPriority w:val="99"/>
    <w:qFormat/>
    <w:rPr>
      <w:rFonts w:ascii="Times New Roman" w:eastAsia="宋体" w:hAnsi="Times New Roman" w:cs="Times New Roman"/>
    </w:rPr>
  </w:style>
  <w:style w:type="paragraph" w:styleId="aff7">
    <w:name w:val="No Spacing"/>
    <w:uiPriority w:val="1"/>
    <w:qFormat/>
    <w:pPr>
      <w:widowControl w:val="0"/>
      <w:ind w:firstLineChars="200" w:firstLine="200"/>
      <w:jc w:val="both"/>
    </w:pPr>
    <w:rPr>
      <w:rFonts w:ascii="Times New Roman" w:eastAsia="宋体" w:hAnsi="Times New Roman" w:cs="Times New Roman"/>
      <w:kern w:val="2"/>
      <w:sz w:val="21"/>
      <w:szCs w:val="22"/>
    </w:rPr>
  </w:style>
  <w:style w:type="character" w:customStyle="1" w:styleId="afa">
    <w:name w:val="副标题 字符"/>
    <w:basedOn w:val="aa"/>
    <w:link w:val="af9"/>
    <w:uiPriority w:val="11"/>
    <w:qFormat/>
    <w:rPr>
      <w:rFonts w:ascii="Times New Roman" w:eastAsia="宋体" w:hAnsi="Times New Roman" w:cs="Times New Roman"/>
      <w:b/>
      <w:bCs/>
      <w:kern w:val="28"/>
      <w:sz w:val="44"/>
      <w:szCs w:val="32"/>
    </w:rPr>
  </w:style>
  <w:style w:type="character" w:customStyle="1" w:styleId="Char">
    <w:name w:val="段 Char"/>
    <w:link w:val="aff5"/>
    <w:qFormat/>
    <w:locked/>
    <w:rPr>
      <w:rFonts w:ascii="宋体" w:eastAsia="宋体" w:hAnsi="Times New Roman" w:cs="Times New Roman"/>
      <w:kern w:val="0"/>
      <w:szCs w:val="20"/>
    </w:rPr>
  </w:style>
  <w:style w:type="paragraph" w:customStyle="1" w:styleId="12">
    <w:name w:val="样式1"/>
    <w:basedOn w:val="a9"/>
    <w:link w:val="1Char"/>
    <w:qFormat/>
    <w:pPr>
      <w:snapToGrid w:val="0"/>
      <w:jc w:val="center"/>
    </w:pPr>
    <w:rPr>
      <w:rFonts w:ascii="Times New Roman" w:hAnsi="Times New Roman"/>
    </w:rPr>
  </w:style>
  <w:style w:type="character" w:customStyle="1" w:styleId="1Char">
    <w:name w:val="样式1 Char"/>
    <w:link w:val="12"/>
    <w:qFormat/>
    <w:rPr>
      <w:rFonts w:ascii="Times New Roman" w:eastAsia="宋体" w:hAnsi="Times New Roman" w:cs="Times New Roman"/>
    </w:rPr>
  </w:style>
  <w:style w:type="character" w:customStyle="1" w:styleId="aff">
    <w:name w:val="批注主题 字符"/>
    <w:basedOn w:val="af0"/>
    <w:link w:val="afe"/>
    <w:uiPriority w:val="99"/>
    <w:qFormat/>
    <w:rPr>
      <w:rFonts w:ascii="Times New Roman" w:eastAsia="宋体" w:hAnsi="Times New Roman" w:cs="Times New Roman"/>
      <w:b/>
      <w:bCs/>
    </w:rPr>
  </w:style>
  <w:style w:type="paragraph" w:customStyle="1" w:styleId="aff8">
    <w:name w:val="论文正文"/>
    <w:basedOn w:val="a9"/>
    <w:link w:val="Char1"/>
    <w:qFormat/>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1">
    <w:name w:val="论文正文 Char"/>
    <w:link w:val="aff8"/>
    <w:qFormat/>
    <w:rPr>
      <w:rFonts w:ascii="Times New Roman" w:eastAsia="宋体" w:hAnsi="Times New Roman" w:cs="Times New Roman"/>
      <w:kern w:val="0"/>
      <w:sz w:val="24"/>
      <w:szCs w:val="20"/>
    </w:rPr>
  </w:style>
  <w:style w:type="character" w:customStyle="1" w:styleId="af2">
    <w:name w:val="日期 字符"/>
    <w:basedOn w:val="aa"/>
    <w:link w:val="af1"/>
    <w:uiPriority w:val="99"/>
    <w:qFormat/>
    <w:rPr>
      <w:rFonts w:ascii="Times New Roman" w:eastAsia="宋体" w:hAnsi="Times New Roman" w:cs="Times New Roman"/>
    </w:rPr>
  </w:style>
  <w:style w:type="character" w:styleId="aff9">
    <w:name w:val="Placeholder Text"/>
    <w:uiPriority w:val="99"/>
    <w:semiHidden/>
    <w:qFormat/>
    <w:rPr>
      <w:color w:val="808080"/>
    </w:rPr>
  </w:style>
  <w:style w:type="character" w:customStyle="1" w:styleId="MTEquationSection">
    <w:name w:val="MTEquationSection"/>
    <w:qFormat/>
    <w:rPr>
      <w:vanish/>
      <w:color w:val="FF0000"/>
    </w:rPr>
  </w:style>
  <w:style w:type="paragraph" w:styleId="affa">
    <w:name w:val="List Paragraph"/>
    <w:basedOn w:val="a9"/>
    <w:uiPriority w:val="34"/>
    <w:qFormat/>
    <w:pPr>
      <w:snapToGrid w:val="0"/>
      <w:spacing w:line="360" w:lineRule="auto"/>
      <w:ind w:firstLineChars="200" w:firstLine="420"/>
    </w:pPr>
    <w:rPr>
      <w:rFonts w:ascii="Times New Roman" w:hAnsi="Times New Roman"/>
    </w:rPr>
  </w:style>
  <w:style w:type="paragraph" w:customStyle="1" w:styleId="a">
    <w:name w:val="参考文献"/>
    <w:basedOn w:val="a9"/>
    <w:link w:val="Char2"/>
    <w:qFormat/>
    <w:pPr>
      <w:numPr>
        <w:numId w:val="2"/>
      </w:numPr>
      <w:spacing w:before="60" w:line="320" w:lineRule="exact"/>
    </w:pPr>
    <w:rPr>
      <w:rFonts w:ascii="Times New Roman" w:hAnsi="宋体"/>
      <w:kern w:val="0"/>
      <w:szCs w:val="21"/>
    </w:rPr>
  </w:style>
  <w:style w:type="character" w:customStyle="1" w:styleId="Char2">
    <w:name w:val="参考文献 Char"/>
    <w:link w:val="a"/>
    <w:qFormat/>
    <w:rPr>
      <w:rFonts w:ascii="Times New Roman" w:eastAsia="宋体" w:hAnsi="宋体" w:cs="Times New Roman"/>
      <w:kern w:val="0"/>
      <w:szCs w:val="21"/>
    </w:rPr>
  </w:style>
  <w:style w:type="paragraph" w:customStyle="1" w:styleId="affb">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0">
    <w:name w:val="章"/>
    <w:basedOn w:val="a9"/>
    <w:next w:val="aff5"/>
    <w:qFormat/>
    <w:pPr>
      <w:numPr>
        <w:numId w:val="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f5"/>
    <w:qFormat/>
    <w:pPr>
      <w:numPr>
        <w:ilvl w:val="1"/>
        <w:numId w:val="3"/>
      </w:numPr>
      <w:ind w:left="0"/>
      <w:outlineLvl w:val="1"/>
    </w:pPr>
    <w:rPr>
      <w:rFonts w:ascii="黑体" w:eastAsia="黑体" w:hAnsi="Times New Roman" w:hint="eastAsia"/>
      <w:kern w:val="21"/>
      <w:szCs w:val="20"/>
    </w:rPr>
  </w:style>
  <w:style w:type="paragraph" w:customStyle="1" w:styleId="2">
    <w:name w:val="条2"/>
    <w:basedOn w:val="a9"/>
    <w:next w:val="aff5"/>
    <w:qFormat/>
    <w:pPr>
      <w:numPr>
        <w:ilvl w:val="2"/>
        <w:numId w:val="3"/>
      </w:numPr>
      <w:outlineLvl w:val="1"/>
    </w:pPr>
    <w:rPr>
      <w:rFonts w:ascii="黑体" w:eastAsia="黑体" w:hAnsi="Times New Roman" w:hint="eastAsia"/>
      <w:kern w:val="21"/>
      <w:szCs w:val="20"/>
    </w:rPr>
  </w:style>
  <w:style w:type="paragraph" w:customStyle="1" w:styleId="3">
    <w:name w:val="条3"/>
    <w:basedOn w:val="a9"/>
    <w:next w:val="aff5"/>
    <w:qFormat/>
    <w:pPr>
      <w:numPr>
        <w:ilvl w:val="3"/>
        <w:numId w:val="3"/>
      </w:numPr>
      <w:outlineLvl w:val="1"/>
    </w:pPr>
    <w:rPr>
      <w:rFonts w:ascii="黑体" w:eastAsia="黑体" w:hAnsi="Times New Roman" w:hint="eastAsia"/>
      <w:kern w:val="21"/>
      <w:szCs w:val="20"/>
    </w:rPr>
  </w:style>
  <w:style w:type="paragraph" w:customStyle="1" w:styleId="5">
    <w:name w:val="无题条5"/>
    <w:basedOn w:val="a9"/>
    <w:next w:val="aff5"/>
    <w:qFormat/>
    <w:pPr>
      <w:numPr>
        <w:ilvl w:val="4"/>
        <w:numId w:val="3"/>
      </w:numPr>
      <w:outlineLvl w:val="1"/>
    </w:pPr>
    <w:rPr>
      <w:rFonts w:ascii="宋体" w:hAnsi="Times New Roman" w:hint="eastAsia"/>
      <w:kern w:val="21"/>
      <w:szCs w:val="20"/>
    </w:rPr>
  </w:style>
  <w:style w:type="paragraph" w:customStyle="1" w:styleId="a1">
    <w:name w:val="附录标题"/>
    <w:basedOn w:val="a9"/>
    <w:next w:val="aff5"/>
    <w:qFormat/>
    <w:pPr>
      <w:widowControl/>
      <w:numPr>
        <w:ilvl w:val="5"/>
        <w:numId w:val="3"/>
      </w:numPr>
      <w:spacing w:before="560" w:after="160"/>
      <w:jc w:val="center"/>
      <w:outlineLvl w:val="0"/>
    </w:pPr>
    <w:rPr>
      <w:rFonts w:ascii="黑体" w:eastAsia="黑体" w:hAnsi="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dataSourceCollection xmlns="http://www.yonyou.com/datasource"/>
</file>

<file path=customXml/itemProps1.xml><?xml version="1.0" encoding="utf-8"?>
<ds:datastoreItem xmlns:ds="http://schemas.openxmlformats.org/officeDocument/2006/customXml" ds:itemID="{6221E303-2A17-4088-A8E7-F2EBD67D0073}">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360766-72EB-4EB3-ACA0-C220F4713842}">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496</Words>
  <Characters>2833</Characters>
  <Application>Microsoft Office Word</Application>
  <DocSecurity>0</DocSecurity>
  <Lines>23</Lines>
  <Paragraphs>6</Paragraphs>
  <ScaleCrop>false</ScaleCrop>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Administrator</cp:lastModifiedBy>
  <cp:revision>6</cp:revision>
  <dcterms:created xsi:type="dcterms:W3CDTF">2019-08-28T02:03:00Z</dcterms:created>
  <dcterms:modified xsi:type="dcterms:W3CDTF">2020-07-22T05:44:00Z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