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C75A3">
      <w:pPr>
        <w:jc w:val="left"/>
        <w:rPr>
          <w:rFonts w:hint="eastAsia"/>
          <w:b/>
          <w:bCs/>
          <w:sz w:val="32"/>
          <w:szCs w:val="40"/>
          <w:lang w:val="en-US" w:eastAsia="zh-CN"/>
        </w:rPr>
      </w:pPr>
      <w:r>
        <w:rPr>
          <w:rFonts w:hint="eastAsia"/>
          <w:b/>
          <w:bCs/>
          <w:sz w:val="32"/>
          <w:szCs w:val="40"/>
          <w:lang w:val="en-US" w:eastAsia="zh-CN"/>
        </w:rPr>
        <w:t>附件：</w:t>
      </w:r>
    </w:p>
    <w:p w14:paraId="4131B3A5">
      <w:pPr>
        <w:ind w:firstLine="420" w:firstLineChars="0"/>
        <w:jc w:val="center"/>
        <w:rPr>
          <w:rFonts w:hint="eastAsia"/>
          <w:b/>
          <w:bCs/>
          <w:sz w:val="36"/>
          <w:szCs w:val="44"/>
          <w:lang w:val="en-US" w:eastAsia="zh-CN"/>
        </w:rPr>
      </w:pPr>
      <w:r>
        <w:rPr>
          <w:rFonts w:hint="eastAsia"/>
          <w:b/>
          <w:bCs/>
          <w:sz w:val="36"/>
          <w:szCs w:val="44"/>
          <w:lang w:val="en-US" w:eastAsia="zh-CN"/>
        </w:rPr>
        <w:t>吉利甲醇内燃机总成支持申请表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982"/>
        <w:gridCol w:w="1773"/>
        <w:gridCol w:w="1191"/>
        <w:gridCol w:w="2392"/>
      </w:tblGrid>
      <w:tr w14:paraId="5483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84" w:type="dxa"/>
          </w:tcPr>
          <w:p w14:paraId="688EE002">
            <w:pPr>
              <w:jc w:val="left"/>
              <w:rPr>
                <w:rFonts w:hint="default"/>
                <w:vertAlign w:val="baseline"/>
                <w:lang w:val="en-US" w:eastAsia="zh-CN"/>
              </w:rPr>
            </w:pPr>
            <w:r>
              <w:rPr>
                <w:rFonts w:hint="eastAsia"/>
                <w:vertAlign w:val="baseline"/>
                <w:lang w:val="en-US" w:eastAsia="zh-CN"/>
              </w:rPr>
              <w:t>学校名称</w:t>
            </w:r>
          </w:p>
        </w:tc>
        <w:tc>
          <w:tcPr>
            <w:tcW w:w="2755" w:type="dxa"/>
            <w:gridSpan w:val="2"/>
          </w:tcPr>
          <w:p w14:paraId="35C34C44">
            <w:pPr>
              <w:jc w:val="left"/>
              <w:rPr>
                <w:rFonts w:hint="default"/>
                <w:vertAlign w:val="baseline"/>
                <w:lang w:val="en-US" w:eastAsia="zh-CN"/>
              </w:rPr>
            </w:pPr>
          </w:p>
        </w:tc>
        <w:tc>
          <w:tcPr>
            <w:tcW w:w="1191" w:type="dxa"/>
          </w:tcPr>
          <w:p w14:paraId="7CDC2CAE">
            <w:pPr>
              <w:jc w:val="left"/>
              <w:rPr>
                <w:rFonts w:hint="default"/>
                <w:vertAlign w:val="baseline"/>
                <w:lang w:val="en-US" w:eastAsia="zh-CN"/>
              </w:rPr>
            </w:pPr>
            <w:r>
              <w:rPr>
                <w:rFonts w:hint="eastAsia"/>
                <w:vertAlign w:val="baseline"/>
                <w:lang w:val="en-US" w:eastAsia="zh-CN"/>
              </w:rPr>
              <w:t>车队名称</w:t>
            </w:r>
          </w:p>
        </w:tc>
        <w:tc>
          <w:tcPr>
            <w:tcW w:w="2392" w:type="dxa"/>
          </w:tcPr>
          <w:p w14:paraId="0383C26C">
            <w:pPr>
              <w:jc w:val="left"/>
              <w:rPr>
                <w:rFonts w:hint="default"/>
                <w:vertAlign w:val="baseline"/>
                <w:lang w:val="en-US" w:eastAsia="zh-CN"/>
              </w:rPr>
            </w:pPr>
          </w:p>
        </w:tc>
      </w:tr>
      <w:tr w14:paraId="0B90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84" w:type="dxa"/>
            <w:vMerge w:val="restart"/>
          </w:tcPr>
          <w:p w14:paraId="5A591DC4">
            <w:pPr>
              <w:jc w:val="left"/>
              <w:rPr>
                <w:rFonts w:hint="default"/>
                <w:vertAlign w:val="baseline"/>
                <w:lang w:val="en-US" w:eastAsia="zh-CN"/>
              </w:rPr>
            </w:pPr>
            <w:r>
              <w:rPr>
                <w:rFonts w:hint="eastAsia"/>
                <w:vertAlign w:val="baseline"/>
                <w:lang w:val="en-US" w:eastAsia="zh-CN"/>
              </w:rPr>
              <w:t>队长信息</w:t>
            </w:r>
          </w:p>
        </w:tc>
        <w:tc>
          <w:tcPr>
            <w:tcW w:w="982" w:type="dxa"/>
          </w:tcPr>
          <w:p w14:paraId="488FDECD">
            <w:pPr>
              <w:jc w:val="left"/>
              <w:rPr>
                <w:rFonts w:hint="default"/>
                <w:vertAlign w:val="baseline"/>
                <w:lang w:val="en-US" w:eastAsia="zh-CN"/>
              </w:rPr>
            </w:pPr>
            <w:r>
              <w:rPr>
                <w:rFonts w:hint="eastAsia"/>
                <w:vertAlign w:val="baseline"/>
                <w:lang w:val="en-US" w:eastAsia="zh-CN"/>
              </w:rPr>
              <w:t>姓名</w:t>
            </w:r>
          </w:p>
        </w:tc>
        <w:tc>
          <w:tcPr>
            <w:tcW w:w="1773" w:type="dxa"/>
          </w:tcPr>
          <w:p w14:paraId="68224B93">
            <w:pPr>
              <w:jc w:val="left"/>
              <w:rPr>
                <w:rFonts w:hint="default"/>
                <w:vertAlign w:val="baseline"/>
                <w:lang w:val="en-US" w:eastAsia="zh-CN"/>
              </w:rPr>
            </w:pPr>
          </w:p>
        </w:tc>
        <w:tc>
          <w:tcPr>
            <w:tcW w:w="1191" w:type="dxa"/>
          </w:tcPr>
          <w:p w14:paraId="00BE869C">
            <w:pPr>
              <w:jc w:val="left"/>
              <w:rPr>
                <w:rFonts w:hint="default"/>
                <w:vertAlign w:val="baseline"/>
                <w:lang w:val="en-US" w:eastAsia="zh-CN"/>
              </w:rPr>
            </w:pPr>
            <w:r>
              <w:rPr>
                <w:rFonts w:hint="eastAsia"/>
                <w:vertAlign w:val="baseline"/>
                <w:lang w:val="en-US" w:eastAsia="zh-CN"/>
              </w:rPr>
              <w:t>电话</w:t>
            </w:r>
          </w:p>
        </w:tc>
        <w:tc>
          <w:tcPr>
            <w:tcW w:w="2392" w:type="dxa"/>
          </w:tcPr>
          <w:p w14:paraId="4B8D1AC3">
            <w:pPr>
              <w:jc w:val="left"/>
              <w:rPr>
                <w:rFonts w:hint="default"/>
                <w:vertAlign w:val="baseline"/>
                <w:lang w:val="en-US" w:eastAsia="zh-CN"/>
              </w:rPr>
            </w:pPr>
          </w:p>
        </w:tc>
      </w:tr>
      <w:tr w14:paraId="3296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84" w:type="dxa"/>
            <w:vMerge w:val="continue"/>
          </w:tcPr>
          <w:p w14:paraId="62211846">
            <w:pPr>
              <w:jc w:val="left"/>
              <w:rPr>
                <w:rFonts w:hint="default"/>
                <w:vertAlign w:val="baseline"/>
                <w:lang w:val="en-US" w:eastAsia="zh-CN"/>
              </w:rPr>
            </w:pPr>
          </w:p>
        </w:tc>
        <w:tc>
          <w:tcPr>
            <w:tcW w:w="982" w:type="dxa"/>
          </w:tcPr>
          <w:p w14:paraId="736515C5">
            <w:pPr>
              <w:jc w:val="left"/>
              <w:rPr>
                <w:rFonts w:hint="default"/>
                <w:vertAlign w:val="baseline"/>
                <w:lang w:val="en-US" w:eastAsia="zh-CN"/>
              </w:rPr>
            </w:pPr>
            <w:r>
              <w:rPr>
                <w:rFonts w:hint="eastAsia"/>
                <w:vertAlign w:val="baseline"/>
                <w:lang w:val="en-US" w:eastAsia="zh-CN"/>
              </w:rPr>
              <w:t>邮箱</w:t>
            </w:r>
          </w:p>
        </w:tc>
        <w:tc>
          <w:tcPr>
            <w:tcW w:w="1773" w:type="dxa"/>
          </w:tcPr>
          <w:p w14:paraId="19CBBB01">
            <w:pPr>
              <w:jc w:val="left"/>
              <w:rPr>
                <w:rFonts w:hint="default"/>
                <w:vertAlign w:val="baseline"/>
                <w:lang w:val="en-US" w:eastAsia="zh-CN"/>
              </w:rPr>
            </w:pPr>
          </w:p>
        </w:tc>
        <w:tc>
          <w:tcPr>
            <w:tcW w:w="1191" w:type="dxa"/>
          </w:tcPr>
          <w:p w14:paraId="4F2552CA">
            <w:pPr>
              <w:jc w:val="left"/>
              <w:rPr>
                <w:rFonts w:hint="default"/>
                <w:vertAlign w:val="baseline"/>
                <w:lang w:val="en-US" w:eastAsia="zh-CN"/>
              </w:rPr>
            </w:pPr>
            <w:r>
              <w:rPr>
                <w:rFonts w:hint="eastAsia"/>
                <w:vertAlign w:val="baseline"/>
                <w:lang w:val="en-US" w:eastAsia="zh-CN"/>
              </w:rPr>
              <w:t>专业</w:t>
            </w:r>
          </w:p>
        </w:tc>
        <w:tc>
          <w:tcPr>
            <w:tcW w:w="2392" w:type="dxa"/>
          </w:tcPr>
          <w:p w14:paraId="23CFC20E">
            <w:pPr>
              <w:jc w:val="left"/>
              <w:rPr>
                <w:rFonts w:hint="default"/>
                <w:vertAlign w:val="baseline"/>
                <w:lang w:val="en-US" w:eastAsia="zh-CN"/>
              </w:rPr>
            </w:pPr>
          </w:p>
        </w:tc>
      </w:tr>
      <w:tr w14:paraId="672F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84" w:type="dxa"/>
            <w:vMerge w:val="restart"/>
          </w:tcPr>
          <w:p w14:paraId="40FB5D0A">
            <w:pPr>
              <w:jc w:val="left"/>
              <w:rPr>
                <w:rFonts w:hint="default"/>
                <w:vertAlign w:val="baseline"/>
                <w:lang w:val="en-US" w:eastAsia="zh-CN"/>
              </w:rPr>
            </w:pPr>
            <w:r>
              <w:rPr>
                <w:rFonts w:hint="eastAsia"/>
                <w:vertAlign w:val="baseline"/>
                <w:lang w:val="en-US" w:eastAsia="zh-CN"/>
              </w:rPr>
              <w:t>指导教师信息</w:t>
            </w:r>
          </w:p>
        </w:tc>
        <w:tc>
          <w:tcPr>
            <w:tcW w:w="982" w:type="dxa"/>
          </w:tcPr>
          <w:p w14:paraId="0976C5C6">
            <w:pPr>
              <w:jc w:val="left"/>
              <w:rPr>
                <w:rFonts w:hint="default"/>
                <w:vertAlign w:val="baseline"/>
                <w:lang w:val="en-US" w:eastAsia="zh-CN"/>
              </w:rPr>
            </w:pPr>
            <w:r>
              <w:rPr>
                <w:rFonts w:hint="eastAsia"/>
                <w:vertAlign w:val="baseline"/>
                <w:lang w:val="en-US" w:eastAsia="zh-CN"/>
              </w:rPr>
              <w:t>姓名</w:t>
            </w:r>
          </w:p>
        </w:tc>
        <w:tc>
          <w:tcPr>
            <w:tcW w:w="1773" w:type="dxa"/>
          </w:tcPr>
          <w:p w14:paraId="5901FB22">
            <w:pPr>
              <w:jc w:val="left"/>
              <w:rPr>
                <w:rFonts w:hint="default"/>
                <w:vertAlign w:val="baseline"/>
                <w:lang w:val="en-US" w:eastAsia="zh-CN"/>
              </w:rPr>
            </w:pPr>
          </w:p>
        </w:tc>
        <w:tc>
          <w:tcPr>
            <w:tcW w:w="1191" w:type="dxa"/>
          </w:tcPr>
          <w:p w14:paraId="257BF5EB">
            <w:pPr>
              <w:jc w:val="left"/>
              <w:rPr>
                <w:rFonts w:hint="default"/>
                <w:vertAlign w:val="baseline"/>
                <w:lang w:val="en-US" w:eastAsia="zh-CN"/>
              </w:rPr>
            </w:pPr>
            <w:r>
              <w:rPr>
                <w:rFonts w:hint="eastAsia"/>
                <w:vertAlign w:val="baseline"/>
                <w:lang w:val="en-US" w:eastAsia="zh-CN"/>
              </w:rPr>
              <w:t>电话</w:t>
            </w:r>
          </w:p>
        </w:tc>
        <w:tc>
          <w:tcPr>
            <w:tcW w:w="2392" w:type="dxa"/>
          </w:tcPr>
          <w:p w14:paraId="191B75C9">
            <w:pPr>
              <w:jc w:val="left"/>
              <w:rPr>
                <w:rFonts w:hint="default"/>
                <w:vertAlign w:val="baseline"/>
                <w:lang w:val="en-US" w:eastAsia="zh-CN"/>
              </w:rPr>
            </w:pPr>
          </w:p>
        </w:tc>
      </w:tr>
      <w:tr w14:paraId="2AC1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4" w:type="dxa"/>
            <w:vMerge w:val="continue"/>
          </w:tcPr>
          <w:p w14:paraId="2CDD0605">
            <w:pPr>
              <w:jc w:val="left"/>
              <w:rPr>
                <w:rFonts w:hint="default"/>
                <w:vertAlign w:val="baseline"/>
                <w:lang w:val="en-US" w:eastAsia="zh-CN"/>
              </w:rPr>
            </w:pPr>
          </w:p>
        </w:tc>
        <w:tc>
          <w:tcPr>
            <w:tcW w:w="982" w:type="dxa"/>
          </w:tcPr>
          <w:p w14:paraId="51D99995">
            <w:pPr>
              <w:jc w:val="left"/>
              <w:rPr>
                <w:rFonts w:hint="default"/>
                <w:vertAlign w:val="baseline"/>
                <w:lang w:val="en-US" w:eastAsia="zh-CN"/>
              </w:rPr>
            </w:pPr>
            <w:r>
              <w:rPr>
                <w:rFonts w:hint="eastAsia"/>
                <w:vertAlign w:val="baseline"/>
                <w:lang w:val="en-US" w:eastAsia="zh-CN"/>
              </w:rPr>
              <w:t>邮箱</w:t>
            </w:r>
          </w:p>
        </w:tc>
        <w:tc>
          <w:tcPr>
            <w:tcW w:w="1773" w:type="dxa"/>
          </w:tcPr>
          <w:p w14:paraId="0DDF3791">
            <w:pPr>
              <w:jc w:val="left"/>
              <w:rPr>
                <w:rFonts w:hint="default"/>
                <w:vertAlign w:val="baseline"/>
                <w:lang w:val="en-US" w:eastAsia="zh-CN"/>
              </w:rPr>
            </w:pPr>
          </w:p>
        </w:tc>
        <w:tc>
          <w:tcPr>
            <w:tcW w:w="1191" w:type="dxa"/>
          </w:tcPr>
          <w:p w14:paraId="32168319">
            <w:pPr>
              <w:jc w:val="left"/>
              <w:rPr>
                <w:rFonts w:hint="default"/>
                <w:vertAlign w:val="baseline"/>
                <w:lang w:val="en-US" w:eastAsia="zh-CN"/>
              </w:rPr>
            </w:pPr>
            <w:r>
              <w:rPr>
                <w:rFonts w:hint="eastAsia"/>
                <w:vertAlign w:val="baseline"/>
                <w:lang w:val="en-US" w:eastAsia="zh-CN"/>
              </w:rPr>
              <w:t>职务</w:t>
            </w:r>
          </w:p>
        </w:tc>
        <w:tc>
          <w:tcPr>
            <w:tcW w:w="2392" w:type="dxa"/>
          </w:tcPr>
          <w:p w14:paraId="3986A50F">
            <w:pPr>
              <w:jc w:val="left"/>
              <w:rPr>
                <w:rFonts w:hint="default"/>
                <w:vertAlign w:val="baseline"/>
                <w:lang w:val="en-US" w:eastAsia="zh-CN"/>
              </w:rPr>
            </w:pPr>
          </w:p>
        </w:tc>
      </w:tr>
      <w:tr w14:paraId="289F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84" w:type="dxa"/>
          </w:tcPr>
          <w:p w14:paraId="4181CB8E">
            <w:pPr>
              <w:jc w:val="left"/>
              <w:rPr>
                <w:rFonts w:hint="default"/>
                <w:vertAlign w:val="baseline"/>
                <w:lang w:val="en-US" w:eastAsia="zh-CN"/>
              </w:rPr>
            </w:pPr>
            <w:r>
              <w:rPr>
                <w:rFonts w:hint="eastAsia"/>
                <w:vertAlign w:val="baseline"/>
                <w:lang w:val="en-US" w:eastAsia="zh-CN"/>
              </w:rPr>
              <w:t>收件地址</w:t>
            </w:r>
          </w:p>
        </w:tc>
        <w:tc>
          <w:tcPr>
            <w:tcW w:w="6338" w:type="dxa"/>
            <w:gridSpan w:val="4"/>
          </w:tcPr>
          <w:p w14:paraId="683BABD3">
            <w:pPr>
              <w:jc w:val="left"/>
              <w:rPr>
                <w:rFonts w:hint="default"/>
                <w:vertAlign w:val="baseline"/>
                <w:lang w:val="en-US" w:eastAsia="zh-CN"/>
              </w:rPr>
            </w:pPr>
          </w:p>
        </w:tc>
      </w:tr>
      <w:tr w14:paraId="350E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tcPr>
          <w:p w14:paraId="5C1ED107">
            <w:pPr>
              <w:jc w:val="left"/>
              <w:rPr>
                <w:rFonts w:hint="default"/>
                <w:vertAlign w:val="baseline"/>
                <w:lang w:val="en-US" w:eastAsia="zh-CN"/>
              </w:rPr>
            </w:pPr>
            <w:r>
              <w:rPr>
                <w:rFonts w:hint="eastAsia"/>
                <w:vertAlign w:val="baseline"/>
                <w:lang w:val="en-US" w:eastAsia="zh-CN"/>
              </w:rPr>
              <w:t>计划申请/采购发动机数量</w:t>
            </w:r>
          </w:p>
        </w:tc>
        <w:tc>
          <w:tcPr>
            <w:tcW w:w="6338" w:type="dxa"/>
            <w:gridSpan w:val="4"/>
          </w:tcPr>
          <w:p w14:paraId="0E50AC60">
            <w:pPr>
              <w:jc w:val="left"/>
              <w:rPr>
                <w:rFonts w:hint="default"/>
                <w:u w:val="none"/>
                <w:vertAlign w:val="baseline"/>
                <w:lang w:val="en-US" w:eastAsia="zh-CN"/>
              </w:rPr>
            </w:pPr>
            <w:r>
              <w:rPr>
                <w:rFonts w:hint="eastAsia"/>
                <w:u w:val="none"/>
                <w:vertAlign w:val="baseline"/>
                <w:lang w:val="en-US" w:eastAsia="zh-CN"/>
              </w:rPr>
              <w:t>支持</w:t>
            </w:r>
            <w:r>
              <w:rPr>
                <w:rFonts w:hint="eastAsia"/>
                <w:u w:val="single"/>
                <w:vertAlign w:val="baseline"/>
                <w:lang w:val="en-US" w:eastAsia="zh-CN"/>
              </w:rPr>
              <w:t xml:space="preserve">1 </w:t>
            </w:r>
            <w:r>
              <w:rPr>
                <w:rFonts w:hint="eastAsia"/>
                <w:u w:val="none"/>
                <w:vertAlign w:val="baseline"/>
                <w:lang w:val="en-US" w:eastAsia="zh-CN"/>
              </w:rPr>
              <w:t>台，采购</w:t>
            </w:r>
            <w:r>
              <w:rPr>
                <w:rFonts w:hint="eastAsia"/>
                <w:u w:val="single"/>
                <w:vertAlign w:val="baseline"/>
                <w:lang w:val="en-US" w:eastAsia="zh-CN"/>
              </w:rPr>
              <w:t xml:space="preserve">   </w:t>
            </w:r>
            <w:r>
              <w:rPr>
                <w:rFonts w:hint="eastAsia"/>
                <w:u w:val="none"/>
                <w:vertAlign w:val="baseline"/>
                <w:lang w:val="en-US" w:eastAsia="zh-CN"/>
              </w:rPr>
              <w:t>台</w:t>
            </w:r>
          </w:p>
          <w:p w14:paraId="090FE67E">
            <w:pPr>
              <w:jc w:val="left"/>
              <w:rPr>
                <w:rFonts w:hint="default"/>
                <w:vertAlign w:val="baseline"/>
                <w:lang w:val="en-US" w:eastAsia="zh-CN"/>
              </w:rPr>
            </w:pPr>
            <w:r>
              <w:rPr>
                <w:rFonts w:hint="eastAsia"/>
                <w:vertAlign w:val="baseline"/>
                <w:lang w:val="en-US" w:eastAsia="zh-CN"/>
              </w:rPr>
              <w:t>（注：首台发动机免费，后续发动机以优惠价格提供购买渠道，当前仅统计购买数量意愿以便于后续发动机生产计划）</w:t>
            </w:r>
          </w:p>
        </w:tc>
      </w:tr>
      <w:tr w14:paraId="206B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2184" w:type="dxa"/>
          </w:tcPr>
          <w:p w14:paraId="3B4DB9A4">
            <w:pPr>
              <w:jc w:val="both"/>
              <w:rPr>
                <w:rFonts w:hint="default"/>
                <w:vertAlign w:val="baseline"/>
                <w:lang w:val="en-US" w:eastAsia="zh-CN"/>
              </w:rPr>
            </w:pPr>
            <w:r>
              <w:rPr>
                <w:rFonts w:hint="eastAsia"/>
                <w:vertAlign w:val="baseline"/>
                <w:lang w:val="en-US" w:eastAsia="zh-CN"/>
              </w:rPr>
              <w:t>发动机附件产品需求</w:t>
            </w:r>
          </w:p>
        </w:tc>
        <w:tc>
          <w:tcPr>
            <w:tcW w:w="6338" w:type="dxa"/>
            <w:gridSpan w:val="4"/>
          </w:tcPr>
          <w:p w14:paraId="664D80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vertAlign w:val="baseline"/>
                <w:lang w:val="en-US" w:eastAsia="zh-CN"/>
              </w:rPr>
            </w:pPr>
            <w:r>
              <w:rPr>
                <w:rFonts w:hint="default"/>
                <w:vertAlign w:val="baseline"/>
                <w:lang w:val="en-US" w:eastAsia="zh-CN"/>
              </w:rPr>
              <w:sym w:font="Wingdings 2" w:char="00A3"/>
            </w:r>
            <w:r>
              <w:rPr>
                <w:rFonts w:hint="eastAsia"/>
                <w:vertAlign w:val="baseline"/>
                <w:lang w:val="en-US" w:eastAsia="zh-CN"/>
              </w:rPr>
              <w:t>发动机总成及数模（支架固定点坐标、质心位置、维修手册、主要技术参数表）</w:t>
            </w:r>
          </w:p>
          <w:p w14:paraId="2DADC43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vertAlign w:val="baseline"/>
                <w:lang w:val="en-US" w:eastAsia="zh-CN"/>
              </w:rPr>
            </w:pPr>
            <w:r>
              <w:rPr>
                <w:rFonts w:hint="default"/>
                <w:vertAlign w:val="baseline"/>
                <w:lang w:val="en-US" w:eastAsia="zh-CN"/>
              </w:rPr>
              <w:sym w:font="Wingdings 2" w:char="00A3"/>
            </w:r>
            <w:r>
              <w:rPr>
                <w:rFonts w:hint="eastAsia"/>
                <w:vertAlign w:val="baseline"/>
                <w:lang w:val="en-US" w:eastAsia="zh-CN"/>
              </w:rPr>
              <w:t>（需购买）甲醇泵总成                数量：</w:t>
            </w:r>
            <w:r>
              <w:rPr>
                <w:rFonts w:hint="eastAsia"/>
                <w:u w:val="single"/>
                <w:vertAlign w:val="baseline"/>
                <w:lang w:val="en-US" w:eastAsia="zh-CN"/>
              </w:rPr>
              <w:t xml:space="preserve">    个</w:t>
            </w:r>
          </w:p>
          <w:p w14:paraId="5E36830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vertAlign w:val="baseline"/>
                <w:lang w:val="en-US" w:eastAsia="zh-CN"/>
              </w:rPr>
            </w:pPr>
            <w:r>
              <w:rPr>
                <w:rFonts w:hint="default"/>
                <w:vertAlign w:val="baseline"/>
                <w:lang w:val="en-US" w:eastAsia="zh-CN"/>
              </w:rPr>
              <w:sym w:font="Wingdings 2" w:char="00A3"/>
            </w:r>
            <w:r>
              <w:rPr>
                <w:rFonts w:hint="eastAsia"/>
                <w:vertAlign w:val="baseline"/>
                <w:lang w:val="en-US" w:eastAsia="zh-CN"/>
              </w:rPr>
              <w:t>（需购买）甲醇喷油泵                数量：</w:t>
            </w:r>
            <w:r>
              <w:rPr>
                <w:rFonts w:hint="eastAsia"/>
                <w:u w:val="single"/>
                <w:vertAlign w:val="baseline"/>
                <w:lang w:val="en-US" w:eastAsia="zh-CN"/>
              </w:rPr>
              <w:t xml:space="preserve">    个</w:t>
            </w:r>
          </w:p>
          <w:p w14:paraId="277D0DF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vertAlign w:val="baseline"/>
                <w:lang w:val="en-US" w:eastAsia="zh-CN"/>
              </w:rPr>
            </w:pPr>
            <w:r>
              <w:rPr>
                <w:rFonts w:hint="default"/>
                <w:vertAlign w:val="baseline"/>
                <w:lang w:val="en-US" w:eastAsia="zh-CN"/>
              </w:rPr>
              <w:sym w:font="Wingdings 2" w:char="00A3"/>
            </w:r>
            <w:r>
              <w:rPr>
                <w:rFonts w:hint="eastAsia"/>
                <w:vertAlign w:val="baseline"/>
                <w:lang w:val="en-US" w:eastAsia="zh-CN"/>
              </w:rPr>
              <w:t>（需购买）甲醇滤清器                数量：</w:t>
            </w:r>
            <w:r>
              <w:rPr>
                <w:rFonts w:hint="eastAsia"/>
                <w:u w:val="single"/>
                <w:vertAlign w:val="baseline"/>
                <w:lang w:val="en-US" w:eastAsia="zh-CN"/>
              </w:rPr>
              <w:t xml:space="preserve">    个</w:t>
            </w:r>
          </w:p>
          <w:p w14:paraId="4A17DB8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vertAlign w:val="baseline"/>
                <w:lang w:val="en-US" w:eastAsia="zh-CN"/>
              </w:rPr>
            </w:pPr>
            <w:r>
              <w:rPr>
                <w:rFonts w:hint="default"/>
                <w:vertAlign w:val="baseline"/>
                <w:lang w:val="en-US" w:eastAsia="zh-CN"/>
              </w:rPr>
              <w:sym w:font="Wingdings 2" w:char="00A3"/>
            </w:r>
            <w:r>
              <w:rPr>
                <w:rFonts w:hint="eastAsia"/>
                <w:vertAlign w:val="baseline"/>
                <w:lang w:val="en-US" w:eastAsia="zh-CN"/>
              </w:rPr>
              <w:t>（需购买）供油管橡胶（含氟橡胶材质）数量：</w:t>
            </w:r>
            <w:r>
              <w:rPr>
                <w:rFonts w:hint="eastAsia"/>
                <w:u w:val="single"/>
                <w:vertAlign w:val="baseline"/>
                <w:lang w:val="en-US" w:eastAsia="zh-CN"/>
              </w:rPr>
              <w:t xml:space="preserve">    米</w:t>
            </w:r>
          </w:p>
          <w:p w14:paraId="045014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vertAlign w:val="baseline"/>
                <w:lang w:val="en-US" w:eastAsia="zh-CN"/>
              </w:rPr>
            </w:pPr>
            <w:r>
              <w:rPr>
                <w:rFonts w:hint="default"/>
                <w:vertAlign w:val="baseline"/>
                <w:lang w:val="en-US" w:eastAsia="zh-CN"/>
              </w:rPr>
              <w:sym w:font="Wingdings 2" w:char="00A3"/>
            </w:r>
            <w:r>
              <w:rPr>
                <w:rFonts w:hint="eastAsia"/>
                <w:vertAlign w:val="baseline"/>
                <w:lang w:val="en-US" w:eastAsia="zh-CN"/>
              </w:rPr>
              <w:t>（需购买）碳罐                      数量：</w:t>
            </w:r>
            <w:r>
              <w:rPr>
                <w:rFonts w:hint="eastAsia"/>
                <w:u w:val="single"/>
                <w:vertAlign w:val="baseline"/>
                <w:lang w:val="en-US" w:eastAsia="zh-CN"/>
              </w:rPr>
              <w:t xml:space="preserve">    个</w:t>
            </w:r>
          </w:p>
          <w:p w14:paraId="58EB82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vertAlign w:val="baseline"/>
                <w:lang w:val="en-US" w:eastAsia="zh-CN"/>
              </w:rPr>
            </w:pPr>
            <w:r>
              <w:rPr>
                <w:rFonts w:hint="default"/>
                <w:vertAlign w:val="baseline"/>
                <w:lang w:val="en-US" w:eastAsia="zh-CN"/>
              </w:rPr>
              <w:sym w:font="Wingdings 2" w:char="00A3"/>
            </w:r>
            <w:r>
              <w:rPr>
                <w:rFonts w:hint="eastAsia"/>
                <w:vertAlign w:val="baseline"/>
                <w:lang w:val="en-US" w:eastAsia="zh-CN"/>
              </w:rPr>
              <w:t>（需购买）原厂ECU（含标定程序）    数量：</w:t>
            </w:r>
            <w:r>
              <w:rPr>
                <w:rFonts w:hint="eastAsia"/>
                <w:u w:val="single"/>
                <w:vertAlign w:val="baseline"/>
                <w:lang w:val="en-US" w:eastAsia="zh-CN"/>
              </w:rPr>
              <w:t xml:space="preserve">    个</w:t>
            </w:r>
          </w:p>
          <w:p w14:paraId="69F2CA1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b/>
                <w:bCs/>
                <w:vertAlign w:val="baseline"/>
                <w:lang w:val="en-US" w:eastAsia="zh-CN"/>
              </w:rPr>
            </w:pPr>
            <w:r>
              <w:rPr>
                <w:rFonts w:hint="default"/>
                <w:vertAlign w:val="baseline"/>
                <w:lang w:val="en-US" w:eastAsia="zh-CN"/>
              </w:rPr>
              <w:sym w:font="Wingdings 2" w:char="00A3"/>
            </w:r>
            <w:r>
              <w:rPr>
                <w:rFonts w:hint="eastAsia"/>
                <w:vertAlign w:val="baseline"/>
                <w:lang w:val="en-US" w:eastAsia="zh-CN"/>
              </w:rPr>
              <w:t>（需购买）火花塞                    数量：</w:t>
            </w:r>
            <w:r>
              <w:rPr>
                <w:rFonts w:hint="eastAsia"/>
                <w:u w:val="single"/>
                <w:vertAlign w:val="baseline"/>
                <w:lang w:val="en-US" w:eastAsia="zh-CN"/>
              </w:rPr>
              <w:t xml:space="preserve">    个</w:t>
            </w:r>
          </w:p>
          <w:p w14:paraId="2913C5C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vertAlign w:val="baseline"/>
                <w:lang w:val="en-US" w:eastAsia="zh-CN"/>
              </w:rPr>
            </w:pPr>
            <w:r>
              <w:rPr>
                <w:rFonts w:hint="default"/>
                <w:vertAlign w:val="baseline"/>
                <w:lang w:val="en-US" w:eastAsia="zh-CN"/>
              </w:rPr>
              <w:sym w:font="Wingdings 2" w:char="00A3"/>
            </w:r>
            <w:r>
              <w:rPr>
                <w:rFonts w:hint="eastAsia"/>
                <w:vertAlign w:val="baseline"/>
                <w:lang w:val="en-US" w:eastAsia="zh-CN"/>
              </w:rPr>
              <w:t>其他：</w:t>
            </w:r>
            <w:r>
              <w:rPr>
                <w:rFonts w:hint="eastAsia"/>
                <w:u w:val="single"/>
                <w:vertAlign w:val="baseline"/>
                <w:lang w:val="en-US" w:eastAsia="zh-CN"/>
              </w:rPr>
              <w:t xml:space="preserve">                             </w:t>
            </w:r>
          </w:p>
          <w:p w14:paraId="4A07B47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vertAlign w:val="baseline"/>
                <w:lang w:val="en-US" w:eastAsia="zh-CN"/>
              </w:rPr>
            </w:pPr>
          </w:p>
          <w:p w14:paraId="1BE3823B">
            <w:pPr>
              <w:jc w:val="both"/>
              <w:rPr>
                <w:rFonts w:hint="eastAsia" w:asciiTheme="minorEastAsia" w:hAnsiTheme="minorEastAsia" w:eastAsiaTheme="minorEastAsia" w:cstheme="minorEastAsia"/>
                <w:vertAlign w:val="baseline"/>
                <w:lang w:val="en-US" w:eastAsia="zh-CN"/>
              </w:rPr>
            </w:pPr>
          </w:p>
        </w:tc>
      </w:tr>
      <w:tr w14:paraId="0118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2184" w:type="dxa"/>
          </w:tcPr>
          <w:p w14:paraId="65CF62F8">
            <w:pPr>
              <w:jc w:val="center"/>
              <w:rPr>
                <w:rFonts w:hint="default"/>
                <w:vertAlign w:val="baseline"/>
                <w:lang w:val="en-US" w:eastAsia="zh-CN"/>
              </w:rPr>
            </w:pPr>
            <w:r>
              <w:rPr>
                <w:rFonts w:hint="eastAsia"/>
                <w:sz w:val="24"/>
                <w:szCs w:val="32"/>
                <w:vertAlign w:val="baseline"/>
                <w:lang w:val="en-US" w:eastAsia="zh-CN"/>
              </w:rPr>
              <w:t>保密承诺书</w:t>
            </w:r>
          </w:p>
        </w:tc>
        <w:tc>
          <w:tcPr>
            <w:tcW w:w="6338" w:type="dxa"/>
            <w:gridSpan w:val="4"/>
          </w:tcPr>
          <w:p w14:paraId="7E42ED17">
            <w:pPr>
              <w:jc w:val="center"/>
              <w:rPr>
                <w:rFonts w:hint="default"/>
                <w:b/>
                <w:bCs/>
                <w:sz w:val="22"/>
                <w:szCs w:val="28"/>
                <w:vertAlign w:val="baseline"/>
                <w:lang w:val="en-US" w:eastAsia="zh-CN"/>
              </w:rPr>
            </w:pPr>
            <w:r>
              <w:rPr>
                <w:rFonts w:hint="default"/>
                <w:b/>
                <w:bCs/>
                <w:sz w:val="22"/>
                <w:szCs w:val="28"/>
                <w:vertAlign w:val="baseline"/>
                <w:lang w:val="en-US" w:eastAsia="zh-CN"/>
              </w:rPr>
              <w:t>甲醇内燃机专项</w:t>
            </w:r>
            <w:r>
              <w:rPr>
                <w:rFonts w:hint="eastAsia"/>
                <w:b/>
                <w:bCs/>
                <w:sz w:val="22"/>
                <w:szCs w:val="28"/>
                <w:vertAlign w:val="baseline"/>
                <w:lang w:val="en-US" w:eastAsia="zh-CN"/>
              </w:rPr>
              <w:t>支持</w:t>
            </w:r>
            <w:r>
              <w:rPr>
                <w:rFonts w:hint="default"/>
                <w:b/>
                <w:bCs/>
                <w:sz w:val="22"/>
                <w:szCs w:val="28"/>
                <w:vertAlign w:val="baseline"/>
                <w:lang w:val="en-US" w:eastAsia="zh-CN"/>
              </w:rPr>
              <w:t>合作保密协议</w:t>
            </w:r>
          </w:p>
          <w:p w14:paraId="2C155EC3">
            <w:pPr>
              <w:jc w:val="both"/>
              <w:rPr>
                <w:rFonts w:hint="default"/>
                <w:vertAlign w:val="baseline"/>
                <w:lang w:val="en-US" w:eastAsia="zh-CN"/>
              </w:rPr>
            </w:pPr>
          </w:p>
          <w:p w14:paraId="2CF8D088">
            <w:pPr>
              <w:jc w:val="both"/>
              <w:rPr>
                <w:rFonts w:hint="default"/>
                <w:vertAlign w:val="baseline"/>
                <w:lang w:val="en-US" w:eastAsia="zh-CN"/>
              </w:rPr>
            </w:pPr>
            <w:r>
              <w:rPr>
                <w:rFonts w:hint="default"/>
                <w:vertAlign w:val="baseline"/>
                <w:lang w:val="en-US" w:eastAsia="zh-CN"/>
              </w:rPr>
              <w:t>甲方（</w:t>
            </w:r>
            <w:r>
              <w:rPr>
                <w:rFonts w:hint="eastAsia"/>
                <w:vertAlign w:val="baseline"/>
                <w:lang w:val="en-US" w:eastAsia="zh-CN"/>
              </w:rPr>
              <w:t>支持</w:t>
            </w:r>
            <w:r>
              <w:rPr>
                <w:rFonts w:hint="default"/>
                <w:vertAlign w:val="baseline"/>
                <w:lang w:val="en-US" w:eastAsia="zh-CN"/>
              </w:rPr>
              <w:t>方）：</w:t>
            </w:r>
            <w:r>
              <w:rPr>
                <w:rFonts w:hint="default"/>
                <w:u w:val="single"/>
                <w:vertAlign w:val="baseline"/>
                <w:lang w:val="en-US" w:eastAsia="zh-CN"/>
              </w:rPr>
              <w:t xml:space="preserve"> </w:t>
            </w:r>
            <w:r>
              <w:rPr>
                <w:rFonts w:hint="eastAsia"/>
                <w:u w:val="single"/>
                <w:vertAlign w:val="baseline"/>
                <w:lang w:val="en-US" w:eastAsia="zh-CN"/>
              </w:rPr>
              <w:t>中国汽车工程学会</w:t>
            </w:r>
            <w:r>
              <w:rPr>
                <w:rFonts w:hint="default"/>
                <w:u w:val="single"/>
                <w:vertAlign w:val="baseline"/>
                <w:lang w:val="en-US" w:eastAsia="zh-CN"/>
              </w:rPr>
              <w:t xml:space="preserve"> </w:t>
            </w:r>
            <w:r>
              <w:rPr>
                <w:rFonts w:hint="default"/>
                <w:u w:val="none"/>
                <w:vertAlign w:val="baseline"/>
                <w:lang w:val="en-US" w:eastAsia="zh-CN"/>
              </w:rPr>
              <w:t xml:space="preserve"> </w:t>
            </w:r>
          </w:p>
          <w:p w14:paraId="06717D79">
            <w:pPr>
              <w:jc w:val="both"/>
              <w:rPr>
                <w:rFonts w:hint="default"/>
                <w:vertAlign w:val="baseline"/>
                <w:lang w:val="en-US" w:eastAsia="zh-CN"/>
              </w:rPr>
            </w:pPr>
            <w:r>
              <w:rPr>
                <w:rFonts w:hint="default"/>
                <w:vertAlign w:val="baseline"/>
                <w:lang w:val="en-US" w:eastAsia="zh-CN"/>
              </w:rPr>
              <w:t xml:space="preserve">（以下简称“甲方”）  </w:t>
            </w:r>
          </w:p>
          <w:p w14:paraId="6F5EC3A3">
            <w:pPr>
              <w:jc w:val="both"/>
              <w:rPr>
                <w:rFonts w:hint="default"/>
                <w:vertAlign w:val="baseline"/>
                <w:lang w:val="en-US" w:eastAsia="zh-CN"/>
              </w:rPr>
            </w:pPr>
          </w:p>
          <w:p w14:paraId="1E124606">
            <w:pPr>
              <w:jc w:val="both"/>
              <w:rPr>
                <w:rFonts w:hint="default"/>
                <w:vertAlign w:val="baseline"/>
                <w:lang w:val="en-US" w:eastAsia="zh-CN"/>
              </w:rPr>
            </w:pPr>
            <w:r>
              <w:rPr>
                <w:rFonts w:hint="default"/>
                <w:vertAlign w:val="baseline"/>
                <w:lang w:val="en-US" w:eastAsia="zh-CN"/>
              </w:rPr>
              <w:t>乙方（受</w:t>
            </w:r>
            <w:r>
              <w:rPr>
                <w:rFonts w:hint="eastAsia"/>
                <w:vertAlign w:val="baseline"/>
                <w:lang w:val="en-US" w:eastAsia="zh-CN"/>
              </w:rPr>
              <w:t>支持</w:t>
            </w:r>
            <w:r>
              <w:rPr>
                <w:rFonts w:hint="default"/>
                <w:vertAlign w:val="baseline"/>
                <w:lang w:val="en-US" w:eastAsia="zh-CN"/>
              </w:rPr>
              <w:t>方）：</w:t>
            </w:r>
            <w:r>
              <w:rPr>
                <w:rFonts w:hint="eastAsia"/>
                <w:u w:val="single"/>
                <w:vertAlign w:val="baseline"/>
                <w:lang w:val="en-US" w:eastAsia="zh-CN"/>
              </w:rPr>
              <w:t xml:space="preserve">               </w:t>
            </w:r>
          </w:p>
          <w:p w14:paraId="6583521D">
            <w:pPr>
              <w:jc w:val="both"/>
              <w:rPr>
                <w:rFonts w:hint="default"/>
                <w:vertAlign w:val="baseline"/>
                <w:lang w:val="en-US" w:eastAsia="zh-CN"/>
              </w:rPr>
            </w:pPr>
            <w:r>
              <w:rPr>
                <w:rFonts w:hint="default"/>
                <w:vertAlign w:val="baseline"/>
                <w:lang w:val="en-US" w:eastAsia="zh-CN"/>
              </w:rPr>
              <w:t xml:space="preserve">（以下简称“乙方”）  </w:t>
            </w:r>
          </w:p>
          <w:p w14:paraId="2D2CB302">
            <w:pPr>
              <w:jc w:val="both"/>
              <w:rPr>
                <w:rFonts w:hint="default"/>
                <w:vertAlign w:val="baseline"/>
                <w:lang w:val="en-US" w:eastAsia="zh-CN"/>
              </w:rPr>
            </w:pPr>
            <w:r>
              <w:rPr>
                <w:rFonts w:hint="default"/>
                <w:vertAlign w:val="baseline"/>
                <w:lang w:val="en-US" w:eastAsia="zh-CN"/>
              </w:rPr>
              <w:t xml:space="preserve">统一社会信用代码： ________  </w:t>
            </w:r>
          </w:p>
          <w:p w14:paraId="2704BDCF">
            <w:pPr>
              <w:jc w:val="both"/>
              <w:rPr>
                <w:rFonts w:hint="default"/>
                <w:vertAlign w:val="baseline"/>
                <w:lang w:val="en-US" w:eastAsia="zh-CN"/>
              </w:rPr>
            </w:pPr>
          </w:p>
          <w:p w14:paraId="1B1C99C8">
            <w:pPr>
              <w:jc w:val="both"/>
              <w:rPr>
                <w:rFonts w:hint="default"/>
                <w:vertAlign w:val="baseline"/>
                <w:lang w:val="en-US" w:eastAsia="zh-CN"/>
              </w:rPr>
            </w:pPr>
            <w:r>
              <w:rPr>
                <w:rFonts w:hint="default"/>
                <w:vertAlign w:val="baseline"/>
                <w:lang w:val="en-US" w:eastAsia="zh-CN"/>
              </w:rPr>
              <w:t>根据《中华人民共和国民法典》等相关法律法规，甲、乙双方在甲醇内燃机专项</w:t>
            </w:r>
            <w:r>
              <w:rPr>
                <w:rFonts w:hint="eastAsia"/>
                <w:vertAlign w:val="baseline"/>
                <w:lang w:val="en-US" w:eastAsia="zh-CN"/>
              </w:rPr>
              <w:t>支持</w:t>
            </w:r>
            <w:r>
              <w:rPr>
                <w:rFonts w:hint="default"/>
                <w:vertAlign w:val="baseline"/>
                <w:lang w:val="en-US" w:eastAsia="zh-CN"/>
              </w:rPr>
              <w:t>合作项目中，为保护双方的商业秘密和技术秘密，本着诚实信用原则，经友好协商，达成协议如下：</w:t>
            </w:r>
          </w:p>
          <w:p w14:paraId="7C60E7B1">
            <w:pPr>
              <w:jc w:val="both"/>
              <w:rPr>
                <w:rFonts w:hint="default"/>
                <w:vertAlign w:val="baseline"/>
                <w:lang w:val="en-US" w:eastAsia="zh-CN"/>
              </w:rPr>
            </w:pPr>
          </w:p>
          <w:p w14:paraId="3068BE62">
            <w:pPr>
              <w:jc w:val="both"/>
              <w:rPr>
                <w:rFonts w:hint="eastAsia"/>
                <w:vertAlign w:val="baseline"/>
                <w:lang w:val="en-US" w:eastAsia="zh-CN"/>
              </w:rPr>
            </w:pPr>
            <w:r>
              <w:rPr>
                <w:rFonts w:hint="eastAsia"/>
                <w:vertAlign w:val="baseline"/>
                <w:lang w:val="en-US" w:eastAsia="zh-CN"/>
              </w:rPr>
              <w:t>第一条    保密的对象和范围</w:t>
            </w:r>
          </w:p>
          <w:p w14:paraId="1B173F7E">
            <w:pPr>
              <w:jc w:val="both"/>
              <w:rPr>
                <w:rFonts w:hint="eastAsia"/>
                <w:vertAlign w:val="baseline"/>
                <w:lang w:val="en-US" w:eastAsia="zh-CN"/>
              </w:rPr>
            </w:pPr>
            <w:r>
              <w:rPr>
                <w:rFonts w:hint="eastAsia"/>
                <w:vertAlign w:val="baseline"/>
                <w:lang w:val="en-US" w:eastAsia="zh-CN"/>
              </w:rPr>
              <w:t>本合同所指的保密信息，为甲方和/或钱江所独有并享有权益，包括但不限于以下内容：</w:t>
            </w:r>
          </w:p>
          <w:p w14:paraId="0B9C1F0C">
            <w:pPr>
              <w:jc w:val="both"/>
              <w:rPr>
                <w:rFonts w:hint="eastAsia"/>
                <w:vertAlign w:val="baseline"/>
                <w:lang w:val="en-US" w:eastAsia="zh-CN"/>
              </w:rPr>
            </w:pPr>
            <w:r>
              <w:rPr>
                <w:rFonts w:hint="eastAsia"/>
                <w:vertAlign w:val="baseline"/>
                <w:lang w:val="en-US" w:eastAsia="zh-CN"/>
              </w:rPr>
              <w:t>甲方和/或钱江的技术资料和信息，包括但不限于以下所列：</w:t>
            </w:r>
          </w:p>
          <w:p w14:paraId="3BC8C39B">
            <w:pPr>
              <w:jc w:val="both"/>
              <w:rPr>
                <w:rFonts w:hint="eastAsia"/>
                <w:vertAlign w:val="baseline"/>
                <w:lang w:val="en-US" w:eastAsia="zh-CN"/>
              </w:rPr>
            </w:pPr>
            <w:r>
              <w:rPr>
                <w:rFonts w:hint="eastAsia"/>
                <w:vertAlign w:val="baseline"/>
                <w:lang w:val="en-US" w:eastAsia="zh-CN"/>
              </w:rPr>
              <w:t>1.1非专利技术成果以及技术数据和手册、设计图纸；</w:t>
            </w:r>
          </w:p>
          <w:p w14:paraId="12596957">
            <w:pPr>
              <w:jc w:val="both"/>
              <w:rPr>
                <w:rFonts w:hint="eastAsia"/>
                <w:vertAlign w:val="baseline"/>
                <w:lang w:val="en-US" w:eastAsia="zh-CN"/>
              </w:rPr>
            </w:pPr>
            <w:r>
              <w:rPr>
                <w:rFonts w:hint="eastAsia"/>
                <w:vertAlign w:val="baseline"/>
                <w:lang w:val="en-US" w:eastAsia="zh-CN"/>
              </w:rPr>
              <w:t>1.2产品生产工艺与流程、设备及其技术资料；</w:t>
            </w:r>
          </w:p>
          <w:p w14:paraId="6830E94C">
            <w:pPr>
              <w:jc w:val="both"/>
              <w:rPr>
                <w:rFonts w:hint="eastAsia"/>
                <w:vertAlign w:val="baseline"/>
                <w:lang w:val="en-US" w:eastAsia="zh-CN"/>
              </w:rPr>
            </w:pPr>
            <w:r>
              <w:rPr>
                <w:rFonts w:hint="eastAsia"/>
                <w:vertAlign w:val="baseline"/>
                <w:lang w:val="en-US" w:eastAsia="zh-CN"/>
              </w:rPr>
              <w:t>1.3新产品、新材料的试验和实验数据；</w:t>
            </w:r>
          </w:p>
          <w:p w14:paraId="21FE23C5">
            <w:pPr>
              <w:jc w:val="both"/>
              <w:rPr>
                <w:rFonts w:hint="eastAsia"/>
                <w:vertAlign w:val="baseline"/>
                <w:lang w:val="en-US" w:eastAsia="zh-CN"/>
              </w:rPr>
            </w:pPr>
            <w:r>
              <w:rPr>
                <w:rFonts w:hint="eastAsia"/>
                <w:vertAlign w:val="baseline"/>
                <w:lang w:val="en-US" w:eastAsia="zh-CN"/>
              </w:rPr>
              <w:t>1.4产品配方和研究报告；</w:t>
            </w:r>
          </w:p>
          <w:p w14:paraId="6FF9D793">
            <w:pPr>
              <w:jc w:val="both"/>
              <w:rPr>
                <w:rFonts w:hint="eastAsia"/>
                <w:vertAlign w:val="baseline"/>
                <w:lang w:val="en-US" w:eastAsia="zh-CN"/>
              </w:rPr>
            </w:pPr>
            <w:r>
              <w:rPr>
                <w:rFonts w:hint="eastAsia"/>
                <w:vertAlign w:val="baseline"/>
                <w:lang w:val="en-US" w:eastAsia="zh-CN"/>
              </w:rPr>
              <w:t>1.5计算机程序、数据、配置文档、用户帐号、口令。</w:t>
            </w:r>
          </w:p>
          <w:p w14:paraId="227108CF">
            <w:pPr>
              <w:jc w:val="both"/>
              <w:rPr>
                <w:rFonts w:hint="eastAsia"/>
                <w:vertAlign w:val="baseline"/>
                <w:lang w:val="en-US" w:eastAsia="zh-CN"/>
              </w:rPr>
            </w:pPr>
            <w:r>
              <w:rPr>
                <w:rFonts w:hint="eastAsia"/>
                <w:vertAlign w:val="baseline"/>
                <w:lang w:val="en-US" w:eastAsia="zh-CN"/>
              </w:rPr>
              <w:t>2.甲方的经营资料和信息，包括但不限于以下所列：</w:t>
            </w:r>
          </w:p>
          <w:p w14:paraId="34C2027B">
            <w:pPr>
              <w:jc w:val="both"/>
              <w:rPr>
                <w:rFonts w:hint="eastAsia"/>
                <w:vertAlign w:val="baseline"/>
                <w:lang w:val="en-US" w:eastAsia="zh-CN"/>
              </w:rPr>
            </w:pPr>
            <w:r>
              <w:rPr>
                <w:rFonts w:hint="eastAsia"/>
                <w:vertAlign w:val="baseline"/>
                <w:lang w:val="en-US" w:eastAsia="zh-CN"/>
              </w:rPr>
              <w:t>2.1营销策略及方法、销售客户资料及名单、产品价目表；</w:t>
            </w:r>
          </w:p>
          <w:p w14:paraId="6A90AE15">
            <w:pPr>
              <w:jc w:val="both"/>
              <w:rPr>
                <w:rFonts w:hint="eastAsia"/>
                <w:vertAlign w:val="baseline"/>
                <w:lang w:val="en-US" w:eastAsia="zh-CN"/>
              </w:rPr>
            </w:pPr>
            <w:r>
              <w:rPr>
                <w:rFonts w:hint="eastAsia"/>
                <w:vertAlign w:val="baseline"/>
                <w:lang w:val="en-US" w:eastAsia="zh-CN"/>
              </w:rPr>
              <w:t>2.2供应渠道及供应商资料及名单；</w:t>
            </w:r>
          </w:p>
          <w:p w14:paraId="37EEC1BB">
            <w:pPr>
              <w:jc w:val="both"/>
              <w:rPr>
                <w:rFonts w:hint="eastAsia"/>
                <w:vertAlign w:val="baseline"/>
                <w:lang w:val="en-US" w:eastAsia="zh-CN"/>
              </w:rPr>
            </w:pPr>
            <w:r>
              <w:rPr>
                <w:rFonts w:hint="eastAsia"/>
                <w:vertAlign w:val="baseline"/>
                <w:lang w:val="en-US" w:eastAsia="zh-CN"/>
              </w:rPr>
              <w:t>2.3投融资计划和方案；</w:t>
            </w:r>
          </w:p>
          <w:p w14:paraId="7E770F60">
            <w:pPr>
              <w:jc w:val="both"/>
              <w:rPr>
                <w:rFonts w:hint="eastAsia"/>
                <w:vertAlign w:val="baseline"/>
                <w:lang w:val="en-US" w:eastAsia="zh-CN"/>
              </w:rPr>
            </w:pPr>
            <w:r>
              <w:rPr>
                <w:rFonts w:hint="eastAsia"/>
                <w:vertAlign w:val="baseline"/>
                <w:lang w:val="en-US" w:eastAsia="zh-CN"/>
              </w:rPr>
              <w:t>2.4广告策略及其筹划方案；</w:t>
            </w:r>
          </w:p>
          <w:p w14:paraId="4A48A3B6">
            <w:pPr>
              <w:jc w:val="both"/>
              <w:rPr>
                <w:rFonts w:hint="eastAsia"/>
                <w:vertAlign w:val="baseline"/>
                <w:lang w:val="en-US" w:eastAsia="zh-CN"/>
              </w:rPr>
            </w:pPr>
            <w:r>
              <w:rPr>
                <w:rFonts w:hint="eastAsia"/>
                <w:vertAlign w:val="baseline"/>
                <w:lang w:val="en-US" w:eastAsia="zh-CN"/>
              </w:rPr>
              <w:t>2.5独有或专有的管理经验、管理优势；</w:t>
            </w:r>
          </w:p>
          <w:p w14:paraId="3F09F9C1">
            <w:pPr>
              <w:jc w:val="both"/>
              <w:rPr>
                <w:rFonts w:hint="eastAsia"/>
                <w:vertAlign w:val="baseline"/>
                <w:lang w:val="en-US" w:eastAsia="zh-CN"/>
              </w:rPr>
            </w:pPr>
            <w:r>
              <w:rPr>
                <w:rFonts w:hint="eastAsia"/>
                <w:vertAlign w:val="baseline"/>
                <w:lang w:val="en-US" w:eastAsia="zh-CN"/>
              </w:rPr>
              <w:t>2.6财务、会计信息和报表资料；</w:t>
            </w:r>
          </w:p>
          <w:p w14:paraId="02A103E6">
            <w:pPr>
              <w:jc w:val="both"/>
              <w:rPr>
                <w:rFonts w:hint="eastAsia"/>
                <w:vertAlign w:val="baseline"/>
                <w:lang w:val="en-US" w:eastAsia="zh-CN"/>
              </w:rPr>
            </w:pPr>
            <w:r>
              <w:rPr>
                <w:rFonts w:hint="eastAsia"/>
                <w:vertAlign w:val="baseline"/>
                <w:lang w:val="en-US" w:eastAsia="zh-CN"/>
              </w:rPr>
              <w:t>2.7生产成本和生产经营计划执行情况。</w:t>
            </w:r>
          </w:p>
          <w:p w14:paraId="42BB9960">
            <w:pPr>
              <w:jc w:val="both"/>
              <w:rPr>
                <w:rFonts w:hint="eastAsia"/>
                <w:vertAlign w:val="baseline"/>
                <w:lang w:val="en-US" w:eastAsia="zh-CN"/>
              </w:rPr>
            </w:pPr>
            <w:r>
              <w:rPr>
                <w:rFonts w:hint="eastAsia"/>
                <w:vertAlign w:val="baseline"/>
                <w:lang w:val="en-US" w:eastAsia="zh-CN"/>
              </w:rPr>
              <w:t>3.甲方和/或钱江的其他非公开的、保密的、专有的信息和数据、文件，包括但不限于以下所列：</w:t>
            </w:r>
          </w:p>
          <w:p w14:paraId="13D030C2">
            <w:pPr>
              <w:jc w:val="both"/>
              <w:rPr>
                <w:rFonts w:hint="eastAsia"/>
                <w:vertAlign w:val="baseline"/>
                <w:lang w:val="en-US" w:eastAsia="zh-CN"/>
              </w:rPr>
            </w:pPr>
            <w:r>
              <w:rPr>
                <w:rFonts w:hint="eastAsia"/>
                <w:vertAlign w:val="baseline"/>
                <w:lang w:val="en-US" w:eastAsia="zh-CN"/>
              </w:rPr>
              <w:t>3.1 公司重要会议决议如董事会决议及会议纪要、股东会会议记录等资料；</w:t>
            </w:r>
          </w:p>
          <w:p w14:paraId="65533895">
            <w:pPr>
              <w:jc w:val="both"/>
              <w:rPr>
                <w:rFonts w:hint="eastAsia"/>
                <w:vertAlign w:val="baseline"/>
                <w:lang w:val="en-US" w:eastAsia="zh-CN"/>
              </w:rPr>
            </w:pPr>
            <w:r>
              <w:rPr>
                <w:rFonts w:hint="eastAsia"/>
                <w:vertAlign w:val="baseline"/>
                <w:lang w:val="en-US" w:eastAsia="zh-CN"/>
              </w:rPr>
              <w:t>3.2公司的重大决策资料如新产品开发、重大设备投资、重大人事调整等资料或信息；</w:t>
            </w:r>
          </w:p>
          <w:p w14:paraId="39287A55">
            <w:pPr>
              <w:jc w:val="both"/>
              <w:rPr>
                <w:rFonts w:hint="eastAsia"/>
                <w:vertAlign w:val="baseline"/>
                <w:lang w:val="en-US" w:eastAsia="zh-CN"/>
              </w:rPr>
            </w:pPr>
            <w:r>
              <w:rPr>
                <w:rFonts w:hint="eastAsia"/>
                <w:vertAlign w:val="baseline"/>
                <w:lang w:val="en-US" w:eastAsia="zh-CN"/>
              </w:rPr>
              <w:t>3.3公司发展战略部署和发展规划；</w:t>
            </w:r>
          </w:p>
          <w:p w14:paraId="1CEECA7A">
            <w:pPr>
              <w:jc w:val="both"/>
              <w:rPr>
                <w:rFonts w:hint="eastAsia"/>
                <w:vertAlign w:val="baseline"/>
                <w:lang w:val="en-US" w:eastAsia="zh-CN"/>
              </w:rPr>
            </w:pPr>
            <w:r>
              <w:rPr>
                <w:rFonts w:hint="eastAsia"/>
                <w:vertAlign w:val="baseline"/>
                <w:lang w:val="en-US" w:eastAsia="zh-CN"/>
              </w:rPr>
              <w:t>3.4资本运作规划及筹划方案、现状资料；</w:t>
            </w:r>
          </w:p>
          <w:p w14:paraId="412A4BC2">
            <w:pPr>
              <w:jc w:val="both"/>
              <w:rPr>
                <w:rFonts w:hint="eastAsia"/>
                <w:vertAlign w:val="baseline"/>
                <w:lang w:val="en-US" w:eastAsia="zh-CN"/>
              </w:rPr>
            </w:pPr>
            <w:r>
              <w:rPr>
                <w:rFonts w:hint="eastAsia"/>
                <w:vertAlign w:val="baseline"/>
                <w:lang w:val="en-US" w:eastAsia="zh-CN"/>
              </w:rPr>
              <w:t>3.5公司重要的人事资料、薪酬福利政策；</w:t>
            </w:r>
          </w:p>
          <w:p w14:paraId="7EEC32F2">
            <w:pPr>
              <w:jc w:val="both"/>
              <w:rPr>
                <w:rFonts w:hint="eastAsia"/>
                <w:vertAlign w:val="baseline"/>
                <w:lang w:val="en-US" w:eastAsia="zh-CN"/>
              </w:rPr>
            </w:pPr>
            <w:r>
              <w:rPr>
                <w:rFonts w:hint="eastAsia"/>
                <w:vertAlign w:val="baseline"/>
                <w:lang w:val="en-US" w:eastAsia="zh-CN"/>
              </w:rPr>
              <w:t>3.6其它对外泄露后可能会使公司在竞争中处于不利地位的资料和信息；</w:t>
            </w:r>
          </w:p>
          <w:p w14:paraId="1D15FC49">
            <w:pPr>
              <w:jc w:val="both"/>
              <w:rPr>
                <w:rFonts w:hint="eastAsia"/>
                <w:vertAlign w:val="baseline"/>
                <w:lang w:val="en-US" w:eastAsia="zh-CN"/>
              </w:rPr>
            </w:pPr>
            <w:r>
              <w:rPr>
                <w:rFonts w:hint="eastAsia"/>
                <w:vertAlign w:val="baseline"/>
                <w:lang w:val="en-US" w:eastAsia="zh-CN"/>
              </w:rPr>
              <w:t>3.7其他任何甲方认为泄露将可能会导致甲方公司和/或钱江利益受损(包含直接利益损失和间接利益损失)的信息。</w:t>
            </w:r>
          </w:p>
          <w:p w14:paraId="4775B5F0">
            <w:pPr>
              <w:jc w:val="both"/>
              <w:rPr>
                <w:rFonts w:hint="eastAsia"/>
                <w:vertAlign w:val="baseline"/>
                <w:lang w:val="en-US" w:eastAsia="zh-CN"/>
              </w:rPr>
            </w:pPr>
            <w:r>
              <w:rPr>
                <w:rFonts w:hint="eastAsia"/>
                <w:vertAlign w:val="baseline"/>
                <w:lang w:val="en-US" w:eastAsia="zh-CN"/>
              </w:rPr>
              <w:t>第二条 乙方的责任及保密义务</w:t>
            </w:r>
          </w:p>
          <w:p w14:paraId="07B17E67">
            <w:pPr>
              <w:jc w:val="both"/>
              <w:rPr>
                <w:rFonts w:hint="eastAsia"/>
                <w:vertAlign w:val="baseline"/>
                <w:lang w:val="en-US" w:eastAsia="zh-CN"/>
              </w:rPr>
            </w:pPr>
            <w:r>
              <w:rPr>
                <w:rFonts w:hint="eastAsia"/>
                <w:vertAlign w:val="baseline"/>
                <w:lang w:val="en-US" w:eastAsia="zh-CN"/>
              </w:rPr>
              <w:t>1.乙方及其人员未经甲方授权，不得以竞争为目的或出于私利或为第三人谋利使甲方和/或钱江受到任何方面的损失或负面影响，包括意外或过失。不得擅自披露、使用保密信息制造再现保密信息的器材、取走与保密信息有关的物件；不得刺探与本职工作或本身业务无关的保密信息；不得直接或间接地向甲方和/或乙方内部、外部的无关人员泄露保密信息；不得允许(出借、赠与、出租、转让等处分甲方和/或钱江保密信息的行为皆属于“允许”)或协助不承担保密义务的任何第三人使用保密信息；不得复制或公开包含保密信息的文件或文件副本；对因工作所保管、接触的有关甲方和/或钱江或甲方和/或钱江客户的文件应妥善对待，未经许可不得超出工作范围使用；在未经许可的情况下不得将甲方的任何资料复制、打印、传送、带出甲方公司。</w:t>
            </w:r>
          </w:p>
          <w:p w14:paraId="5C655525">
            <w:pPr>
              <w:jc w:val="both"/>
              <w:rPr>
                <w:rFonts w:hint="eastAsia"/>
                <w:vertAlign w:val="baseline"/>
                <w:lang w:val="en-US" w:eastAsia="zh-CN"/>
              </w:rPr>
            </w:pPr>
            <w:r>
              <w:rPr>
                <w:rFonts w:hint="eastAsia"/>
                <w:vertAlign w:val="baseline"/>
                <w:lang w:val="en-US" w:eastAsia="zh-CN"/>
              </w:rPr>
              <w:t>2. 乙方应本着谨慎、诚实的态度，尽力采取合理措施防止甲方和/或钱江保密信息的扩散或泄露。</w:t>
            </w:r>
          </w:p>
          <w:p w14:paraId="2173A035">
            <w:pPr>
              <w:jc w:val="both"/>
              <w:rPr>
                <w:rFonts w:hint="eastAsia"/>
                <w:vertAlign w:val="baseline"/>
                <w:lang w:val="en-US" w:eastAsia="zh-CN"/>
              </w:rPr>
            </w:pPr>
            <w:r>
              <w:rPr>
                <w:rFonts w:hint="eastAsia"/>
                <w:vertAlign w:val="baseline"/>
                <w:lang w:val="en-US" w:eastAsia="zh-CN"/>
              </w:rPr>
              <w:t>3.乙方人员在甲方公司提供服务的，应当在甲方公司指定区域内进行活动，同时严格遵守甲方的保密制度。</w:t>
            </w:r>
          </w:p>
          <w:p w14:paraId="0EA84232">
            <w:pPr>
              <w:jc w:val="both"/>
              <w:rPr>
                <w:rFonts w:hint="eastAsia"/>
                <w:vertAlign w:val="baseline"/>
                <w:lang w:val="en-US" w:eastAsia="zh-CN"/>
              </w:rPr>
            </w:pPr>
            <w:r>
              <w:rPr>
                <w:rFonts w:hint="eastAsia"/>
                <w:vertAlign w:val="baseline"/>
                <w:lang w:val="en-US" w:eastAsia="zh-CN"/>
              </w:rPr>
              <w:t>4.如果发现保密信息被泄露或者乙方过失泄露保密信息，乙方应当采取有效措施防止泄密进一步扩大，并及时向甲方报告。</w:t>
            </w:r>
          </w:p>
          <w:p w14:paraId="5E95985E">
            <w:pPr>
              <w:jc w:val="both"/>
              <w:rPr>
                <w:rFonts w:hint="eastAsia"/>
                <w:vertAlign w:val="baseline"/>
                <w:lang w:val="en-US" w:eastAsia="zh-CN"/>
              </w:rPr>
            </w:pPr>
            <w:r>
              <w:rPr>
                <w:rFonts w:hint="eastAsia"/>
                <w:vertAlign w:val="baseline"/>
                <w:lang w:val="en-US" w:eastAsia="zh-CN"/>
              </w:rPr>
              <w:t>5、乙方的创意、项目要经甲方认可不与甲方和/或钱江项目冲突。且乙方在做宣传时其内容不得与甲方和/或钱江宣传内容冲突，同时乙方应严格约束其下游合作方的行为遵守本协议约定，不得与甲方和/或钱江项目及权益相冲突。否则视为乙方违约，乙方应向甲方和/或钱江承担违约责任。</w:t>
            </w:r>
          </w:p>
          <w:p w14:paraId="51B58F1E">
            <w:pPr>
              <w:jc w:val="both"/>
              <w:rPr>
                <w:rFonts w:hint="eastAsia"/>
                <w:vertAlign w:val="baseline"/>
                <w:lang w:val="en-US" w:eastAsia="zh-CN"/>
              </w:rPr>
            </w:pPr>
            <w:r>
              <w:rPr>
                <w:rFonts w:hint="eastAsia"/>
                <w:vertAlign w:val="baseline"/>
                <w:lang w:val="en-US" w:eastAsia="zh-CN"/>
              </w:rPr>
              <w:t>第三条 保密期限</w:t>
            </w:r>
          </w:p>
          <w:p w14:paraId="791E663A">
            <w:pPr>
              <w:jc w:val="both"/>
              <w:rPr>
                <w:rFonts w:hint="eastAsia"/>
                <w:vertAlign w:val="baseline"/>
                <w:lang w:val="en-US" w:eastAsia="zh-CN"/>
              </w:rPr>
            </w:pPr>
            <w:r>
              <w:rPr>
                <w:rFonts w:hint="eastAsia"/>
                <w:vertAlign w:val="baseline"/>
                <w:lang w:val="en-US" w:eastAsia="zh-CN"/>
              </w:rPr>
              <w:t>甲乙双方确认，乙方的保密义务自本协议签订之日起至本协议第一条所述的保密信息由甲方和/或钱江公开时为止。保密义务不随甲乙双方合作的终止而终止。</w:t>
            </w:r>
          </w:p>
          <w:p w14:paraId="3E7832D5">
            <w:pPr>
              <w:jc w:val="both"/>
              <w:rPr>
                <w:rFonts w:hint="default"/>
                <w:vertAlign w:val="baseline"/>
                <w:lang w:val="en-US" w:eastAsia="zh-CN"/>
              </w:rPr>
            </w:pPr>
          </w:p>
          <w:p w14:paraId="5ED1530A">
            <w:pPr>
              <w:jc w:val="both"/>
              <w:rPr>
                <w:rFonts w:hint="default"/>
                <w:vertAlign w:val="baseline"/>
                <w:lang w:val="en-US" w:eastAsia="zh-CN"/>
              </w:rPr>
            </w:pPr>
            <w:r>
              <w:rPr>
                <w:rFonts w:hint="default"/>
                <w:vertAlign w:val="baseline"/>
                <w:lang w:val="en-US" w:eastAsia="zh-CN"/>
              </w:rPr>
              <w:t>第六条 违约责任</w:t>
            </w:r>
          </w:p>
          <w:p w14:paraId="0C8C144D">
            <w:pPr>
              <w:jc w:val="both"/>
              <w:rPr>
                <w:rFonts w:hint="eastAsia"/>
                <w:vertAlign w:val="baseline"/>
                <w:lang w:val="en-US" w:eastAsia="zh-CN"/>
              </w:rPr>
            </w:pPr>
            <w:r>
              <w:rPr>
                <w:rFonts w:hint="eastAsia"/>
                <w:vertAlign w:val="baseline"/>
                <w:lang w:val="en-US" w:eastAsia="zh-CN"/>
              </w:rPr>
              <w:t>1.乙方或其人员违反本合同约定，应一次性向甲方和/或钱江支付违约金【200】万元或所支付的违约金金额相当于后期甲乙双方签署的具体项目合同中约定的合同总金额【2】倍(两者取较高者)。</w:t>
            </w:r>
          </w:p>
          <w:p w14:paraId="55E95ED5">
            <w:pPr>
              <w:jc w:val="both"/>
              <w:rPr>
                <w:rFonts w:hint="eastAsia"/>
                <w:vertAlign w:val="baseline"/>
                <w:lang w:val="en-US" w:eastAsia="zh-CN"/>
              </w:rPr>
            </w:pPr>
            <w:r>
              <w:rPr>
                <w:rFonts w:hint="eastAsia"/>
                <w:vertAlign w:val="baseline"/>
                <w:lang w:val="en-US" w:eastAsia="zh-CN"/>
              </w:rPr>
              <w:t>2.乙方或其人员违反本合同约定，其违约行为所获得的收益应当归甲方和/或钱江所有，并赔偿甲方和/或钱江经济损失，该等损失包括但不限于诉讼费用、律师费用以及其他合理的开支和甲方和/或钱江应当获得而未能获得的商业利益或机会补偿。</w:t>
            </w:r>
          </w:p>
          <w:p w14:paraId="4ACDB9C2">
            <w:pPr>
              <w:jc w:val="both"/>
              <w:rPr>
                <w:rFonts w:hint="eastAsia"/>
                <w:vertAlign w:val="baseline"/>
                <w:lang w:val="en-US" w:eastAsia="zh-CN"/>
              </w:rPr>
            </w:pPr>
            <w:r>
              <w:rPr>
                <w:rFonts w:hint="eastAsia"/>
                <w:vertAlign w:val="baseline"/>
                <w:lang w:val="en-US" w:eastAsia="zh-CN"/>
              </w:rPr>
              <w:t>3.因乙方或其人员泄露保密信息给甲方和/或造成严重后果的，甲方和/或钱江将通过法律手段追究乙方责任，直至追究刑事责任。</w:t>
            </w:r>
          </w:p>
          <w:p w14:paraId="441C097A">
            <w:pPr>
              <w:jc w:val="both"/>
              <w:rPr>
                <w:rFonts w:hint="eastAsia"/>
                <w:vertAlign w:val="baseline"/>
                <w:lang w:val="en-US" w:eastAsia="zh-CN"/>
              </w:rPr>
            </w:pPr>
            <w:r>
              <w:rPr>
                <w:rFonts w:hint="eastAsia"/>
                <w:vertAlign w:val="baseline"/>
                <w:lang w:val="en-US" w:eastAsia="zh-CN"/>
              </w:rPr>
              <w:t>4.因乙方人员泄露保密信息给甲方和/或钱江造成不利后果的，乙方需对此承担连带责任 。</w:t>
            </w:r>
          </w:p>
          <w:p w14:paraId="004605FB">
            <w:pPr>
              <w:jc w:val="both"/>
              <w:rPr>
                <w:rFonts w:hint="eastAsia"/>
                <w:vertAlign w:val="baseline"/>
                <w:lang w:val="en-US" w:eastAsia="zh-CN"/>
              </w:rPr>
            </w:pPr>
            <w:r>
              <w:rPr>
                <w:rFonts w:hint="eastAsia"/>
                <w:vertAlign w:val="baseline"/>
                <w:lang w:val="en-US" w:eastAsia="zh-CN"/>
              </w:rPr>
              <w:t>5.乙方不因其人员离职而免除其连带责任。</w:t>
            </w:r>
          </w:p>
          <w:p w14:paraId="04BF54B1">
            <w:pPr>
              <w:jc w:val="both"/>
              <w:rPr>
                <w:rFonts w:hint="eastAsia"/>
                <w:vertAlign w:val="baseline"/>
                <w:lang w:val="en-US" w:eastAsia="zh-CN"/>
              </w:rPr>
            </w:pPr>
            <w:r>
              <w:rPr>
                <w:rFonts w:hint="eastAsia"/>
                <w:vertAlign w:val="baseline"/>
                <w:lang w:val="en-US" w:eastAsia="zh-CN"/>
              </w:rPr>
              <w:t>第五条适用法律及争议解决</w:t>
            </w:r>
          </w:p>
          <w:p w14:paraId="403EEAE5">
            <w:pPr>
              <w:jc w:val="both"/>
              <w:rPr>
                <w:rFonts w:hint="eastAsia"/>
                <w:vertAlign w:val="baseline"/>
                <w:lang w:val="en-US" w:eastAsia="zh-CN"/>
              </w:rPr>
            </w:pPr>
            <w:r>
              <w:rPr>
                <w:rFonts w:hint="eastAsia"/>
                <w:vertAlign w:val="baseline"/>
                <w:lang w:val="en-US" w:eastAsia="zh-CN"/>
              </w:rPr>
              <w:t>1.本协议适用于中华人民共和国法律法规；</w:t>
            </w:r>
          </w:p>
          <w:p w14:paraId="4F26A2C5">
            <w:pPr>
              <w:jc w:val="both"/>
              <w:rPr>
                <w:rFonts w:hint="eastAsia"/>
                <w:vertAlign w:val="baseline"/>
                <w:lang w:val="en-US" w:eastAsia="zh-CN"/>
              </w:rPr>
            </w:pPr>
            <w:r>
              <w:rPr>
                <w:rFonts w:hint="eastAsia"/>
                <w:vertAlign w:val="baseline"/>
                <w:lang w:val="en-US" w:eastAsia="zh-CN"/>
              </w:rPr>
              <w:t>2.凡因本协议产生的或与本协议相关的争议，双方应先通过友好协商解决；协商不成的，由甲方所在地人民法院管辖诉讼解决。</w:t>
            </w:r>
          </w:p>
          <w:p w14:paraId="2896343E">
            <w:pPr>
              <w:jc w:val="both"/>
              <w:rPr>
                <w:rFonts w:hint="default"/>
                <w:vertAlign w:val="baseline"/>
                <w:lang w:val="en-US" w:eastAsia="zh-CN"/>
              </w:rPr>
            </w:pPr>
          </w:p>
          <w:p w14:paraId="330D2137">
            <w:pPr>
              <w:jc w:val="both"/>
              <w:rPr>
                <w:rFonts w:hint="default"/>
                <w:vertAlign w:val="baseline"/>
                <w:lang w:val="en-US" w:eastAsia="zh-CN"/>
              </w:rPr>
            </w:pPr>
            <w:r>
              <w:rPr>
                <w:rFonts w:hint="default"/>
                <w:vertAlign w:val="baseline"/>
                <w:lang w:val="en-US" w:eastAsia="zh-CN"/>
              </w:rPr>
              <w:t xml:space="preserve">第七条 争议解决  </w:t>
            </w:r>
          </w:p>
          <w:p w14:paraId="04C65062">
            <w:pPr>
              <w:jc w:val="both"/>
              <w:rPr>
                <w:rFonts w:hint="default"/>
                <w:vertAlign w:val="baseline"/>
                <w:lang w:val="en-US" w:eastAsia="zh-CN"/>
              </w:rPr>
            </w:pPr>
            <w:r>
              <w:rPr>
                <w:rFonts w:hint="default"/>
                <w:vertAlign w:val="baseline"/>
                <w:lang w:val="en-US" w:eastAsia="zh-CN"/>
              </w:rPr>
              <w:t>因履行本协议发生的争议，双方应友好协商解决；协商不成的，任何一方均有权向甲方所在地有管辖权的人民法院提起诉讼。</w:t>
            </w:r>
          </w:p>
          <w:p w14:paraId="1ED9C195">
            <w:pPr>
              <w:jc w:val="both"/>
              <w:rPr>
                <w:rFonts w:hint="default"/>
                <w:vertAlign w:val="baseline"/>
                <w:lang w:val="en-US" w:eastAsia="zh-CN"/>
              </w:rPr>
            </w:pPr>
          </w:p>
          <w:p w14:paraId="1EB5653E">
            <w:pPr>
              <w:jc w:val="both"/>
              <w:rPr>
                <w:rFonts w:hint="default"/>
                <w:vertAlign w:val="baseline"/>
                <w:lang w:val="en-US" w:eastAsia="zh-CN"/>
              </w:rPr>
            </w:pPr>
            <w:r>
              <w:rPr>
                <w:rFonts w:hint="default"/>
                <w:vertAlign w:val="baseline"/>
                <w:lang w:val="en-US" w:eastAsia="zh-CN"/>
              </w:rPr>
              <w:t>第八条 其他</w:t>
            </w:r>
          </w:p>
          <w:p w14:paraId="1B07DAE8">
            <w:pPr>
              <w:jc w:val="both"/>
              <w:rPr>
                <w:rFonts w:hint="default"/>
                <w:vertAlign w:val="baseline"/>
                <w:lang w:val="en-US" w:eastAsia="zh-CN"/>
              </w:rPr>
            </w:pPr>
            <w:r>
              <w:rPr>
                <w:rFonts w:hint="default"/>
                <w:vertAlign w:val="baseline"/>
                <w:lang w:val="en-US" w:eastAsia="zh-CN"/>
              </w:rPr>
              <w:t>1. 本协议是双方就本次甲醇内燃机专项</w:t>
            </w:r>
            <w:r>
              <w:rPr>
                <w:rFonts w:hint="eastAsia"/>
                <w:vertAlign w:val="baseline"/>
                <w:lang w:val="en-US" w:eastAsia="zh-CN"/>
              </w:rPr>
              <w:t>支持</w:t>
            </w:r>
            <w:r>
              <w:rPr>
                <w:rFonts w:hint="default"/>
                <w:vertAlign w:val="baseline"/>
                <w:lang w:val="en-US" w:eastAsia="zh-CN"/>
              </w:rPr>
              <w:t>合作中保密事宜达成的独立法律文件，与双方后续可能签署的《</w:t>
            </w:r>
            <w:r>
              <w:rPr>
                <w:rFonts w:hint="eastAsia"/>
                <w:vertAlign w:val="baseline"/>
                <w:lang w:val="en-US" w:eastAsia="zh-CN"/>
              </w:rPr>
              <w:t>支持</w:t>
            </w:r>
            <w:r>
              <w:rPr>
                <w:rFonts w:hint="default"/>
                <w:vertAlign w:val="baseline"/>
                <w:lang w:val="en-US" w:eastAsia="zh-CN"/>
              </w:rPr>
              <w:t xml:space="preserve">合作协议》等主合同具有同等法律效力。如主合同中有与本协议不一致的条款，以保密要求更严格者为准。  </w:t>
            </w:r>
          </w:p>
          <w:p w14:paraId="56E9447F">
            <w:pPr>
              <w:jc w:val="both"/>
              <w:rPr>
                <w:rFonts w:hint="default"/>
                <w:vertAlign w:val="baseline"/>
                <w:lang w:val="en-US" w:eastAsia="zh-CN"/>
              </w:rPr>
            </w:pPr>
            <w:r>
              <w:rPr>
                <w:rFonts w:hint="default"/>
                <w:vertAlign w:val="baseline"/>
                <w:lang w:val="en-US" w:eastAsia="zh-CN"/>
              </w:rPr>
              <w:t>3. 本协议自</w:t>
            </w:r>
            <w:r>
              <w:rPr>
                <w:rFonts w:hint="eastAsia"/>
                <w:vertAlign w:val="baseline"/>
                <w:lang w:val="en-US" w:eastAsia="zh-CN"/>
              </w:rPr>
              <w:t>乙方</w:t>
            </w:r>
            <w:r>
              <w:rPr>
                <w:rFonts w:hint="default"/>
                <w:vertAlign w:val="baseline"/>
                <w:lang w:val="en-US" w:eastAsia="zh-CN"/>
              </w:rPr>
              <w:t>签字并加盖公章或合同专用章之日起生效。</w:t>
            </w:r>
          </w:p>
          <w:p w14:paraId="30E02AEB">
            <w:pPr>
              <w:jc w:val="both"/>
              <w:rPr>
                <w:rFonts w:hint="default"/>
                <w:vertAlign w:val="baseline"/>
                <w:lang w:val="en-US" w:eastAsia="zh-CN"/>
              </w:rPr>
            </w:pPr>
          </w:p>
          <w:p w14:paraId="3A924A93">
            <w:pPr>
              <w:ind w:firstLine="2730" w:firstLineChars="1300"/>
              <w:jc w:val="both"/>
              <w:rPr>
                <w:rFonts w:hint="eastAsia"/>
                <w:vertAlign w:val="baseline"/>
                <w:lang w:val="en-US" w:eastAsia="zh-CN"/>
              </w:rPr>
            </w:pPr>
            <w:r>
              <w:rPr>
                <w:rFonts w:hint="eastAsia"/>
                <w:vertAlign w:val="baseline"/>
                <w:lang w:val="en-US" w:eastAsia="zh-CN"/>
              </w:rPr>
              <w:t>车队队长签字：</w:t>
            </w:r>
          </w:p>
          <w:p w14:paraId="0A7EF755">
            <w:pPr>
              <w:ind w:firstLine="2730" w:firstLineChars="1300"/>
              <w:jc w:val="both"/>
              <w:rPr>
                <w:rFonts w:hint="eastAsia"/>
                <w:vertAlign w:val="baseline"/>
                <w:lang w:val="en-US" w:eastAsia="zh-CN"/>
              </w:rPr>
            </w:pPr>
          </w:p>
          <w:p w14:paraId="5A3C6435">
            <w:pPr>
              <w:ind w:firstLine="2310" w:firstLineChars="1100"/>
              <w:jc w:val="both"/>
              <w:rPr>
                <w:rFonts w:hint="eastAsia"/>
                <w:vertAlign w:val="baseline"/>
                <w:lang w:val="en-US" w:eastAsia="zh-CN"/>
              </w:rPr>
            </w:pPr>
            <w:r>
              <w:rPr>
                <w:rFonts w:hint="eastAsia"/>
                <w:vertAlign w:val="baseline"/>
                <w:lang w:val="en-US" w:eastAsia="zh-CN"/>
              </w:rPr>
              <w:t>车队指导老师签字：</w:t>
            </w:r>
          </w:p>
          <w:p w14:paraId="3A639642">
            <w:pPr>
              <w:ind w:firstLine="2310" w:firstLineChars="1100"/>
              <w:jc w:val="both"/>
              <w:rPr>
                <w:rFonts w:hint="eastAsia"/>
                <w:vertAlign w:val="baseline"/>
                <w:lang w:val="en-US" w:eastAsia="zh-CN"/>
              </w:rPr>
            </w:pPr>
          </w:p>
          <w:p w14:paraId="77510356">
            <w:pPr>
              <w:ind w:firstLine="2310" w:firstLineChars="1100"/>
              <w:jc w:val="both"/>
              <w:rPr>
                <w:rFonts w:hint="default"/>
                <w:vertAlign w:val="baseline"/>
                <w:lang w:val="en-US" w:eastAsia="zh-CN"/>
              </w:rPr>
            </w:pPr>
            <w:r>
              <w:rPr>
                <w:rFonts w:hint="eastAsia"/>
                <w:vertAlign w:val="baseline"/>
                <w:lang w:val="en-US" w:eastAsia="zh-CN"/>
              </w:rPr>
              <w:t>（院级及以上盖章并加盖骑缝章）</w:t>
            </w:r>
          </w:p>
        </w:tc>
      </w:tr>
    </w:tbl>
    <w:p w14:paraId="24C8E6B4">
      <w:pPr>
        <w:ind w:firstLine="420" w:firstLineChars="0"/>
        <w:jc w:val="both"/>
        <w:rPr>
          <w:rFonts w:hint="default"/>
          <w:lang w:val="en-US" w:eastAsia="zh-CN"/>
        </w:rPr>
      </w:pPr>
    </w:p>
    <w:p w14:paraId="7EBB6AF1">
      <w:pPr>
        <w:jc w:val="both"/>
        <w:rPr>
          <w:rFonts w:hint="eastAsia"/>
          <w:lang w:val="en-US" w:eastAsia="zh-CN"/>
        </w:rPr>
      </w:pPr>
    </w:p>
    <w:p w14:paraId="13B4DD7A">
      <w:pPr>
        <w:jc w:val="both"/>
        <w:rPr>
          <w:rFonts w:hint="default"/>
          <w:lang w:val="en-US" w:eastAsia="zh-CN"/>
        </w:rPr>
      </w:pPr>
    </w:p>
    <w:p w14:paraId="77EAD1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D3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2025-12-26T02:45:36Z</dcterms:created>
  <dc:creator>zheng</dc:creator>
  <cp:lastModifiedBy>郑浩</cp:lastModifiedBy>
  <dcterms:modified xsi:type="dcterms:W3CDTF">2025-12-26T02:46:10Z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eyJoZGlkIjoiNjQzYTU3N2NmMWM1MTc4ZjVhZDk2YWRiZTM5ZWMyNjciLCJ1c2VySWQiOiI2OTc1MDUwMjcifQ==</vt:lpwstr>
  </property>
  <property fmtid="{D5CDD505-2E9C-101B-9397-08002B2CF9AE}" pid="4" name="ICV">
    <vt:lpwstr>4AFB93332C764B31A19026CED64C82EA_12</vt:lpwstr>
  </property>
</Properties>
</file>